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E9FB" w14:textId="38166499" w:rsidR="00B15F1E" w:rsidRDefault="006401DE" w:rsidP="007A0444">
      <w:pPr>
        <w:pStyle w:val="NoSpacing"/>
        <w:rPr>
          <w:caps/>
          <w:color w:val="006D6B" w:themeColor="text1" w:themeTint="E6"/>
          <w:sz w:val="40"/>
          <w:szCs w:val="40"/>
        </w:rPr>
      </w:pPr>
      <w:r w:rsidRPr="00E95868">
        <w:rPr>
          <w:caps/>
          <w:color w:val="006D6B" w:themeColor="text1" w:themeTint="E6"/>
          <w:sz w:val="40"/>
          <w:szCs w:val="40"/>
        </w:rPr>
        <w:t xml:space="preserve">Net Zero policy roundup </w:t>
      </w:r>
      <w:r w:rsidR="00DA4278">
        <w:rPr>
          <w:caps/>
          <w:color w:val="006D6B" w:themeColor="text1" w:themeTint="E6"/>
          <w:sz w:val="40"/>
          <w:szCs w:val="40"/>
        </w:rPr>
        <w:t>August</w:t>
      </w:r>
      <w:r w:rsidR="00DA7937" w:rsidRPr="00E95868">
        <w:rPr>
          <w:caps/>
          <w:color w:val="006D6B" w:themeColor="text1" w:themeTint="E6"/>
          <w:sz w:val="40"/>
          <w:szCs w:val="40"/>
        </w:rPr>
        <w:t xml:space="preserve"> 2023</w:t>
      </w:r>
    </w:p>
    <w:p w14:paraId="46259C63" w14:textId="77777777" w:rsidR="001D36C6" w:rsidRPr="001D36C6" w:rsidRDefault="001D36C6" w:rsidP="007A0444">
      <w:pPr>
        <w:pStyle w:val="NoSpacing"/>
        <w:rPr>
          <w:caps/>
          <w:color w:val="006D6B" w:themeColor="text1" w:themeTint="E6"/>
          <w:sz w:val="20"/>
          <w:szCs w:val="20"/>
        </w:rPr>
      </w:pPr>
    </w:p>
    <w:tbl>
      <w:tblPr>
        <w:tblStyle w:val="ListTable3-Accent2"/>
        <w:tblW w:w="0" w:type="auto"/>
        <w:tblLook w:val="04A0" w:firstRow="1" w:lastRow="0" w:firstColumn="1" w:lastColumn="0" w:noHBand="0" w:noVBand="1"/>
      </w:tblPr>
      <w:tblGrid>
        <w:gridCol w:w="7366"/>
        <w:gridCol w:w="2256"/>
      </w:tblGrid>
      <w:tr w:rsidR="001D36C6" w:rsidRPr="00A447BA" w14:paraId="2C857377" w14:textId="77777777" w:rsidTr="5614EEAB">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7366" w:type="dxa"/>
          </w:tcPr>
          <w:p w14:paraId="524E1997" w14:textId="1022B5B9" w:rsidR="001D36C6" w:rsidRPr="00A447BA" w:rsidRDefault="001D36C6" w:rsidP="00DA1C32">
            <w:pPr>
              <w:tabs>
                <w:tab w:val="left" w:pos="3870"/>
                <w:tab w:val="left" w:pos="6270"/>
              </w:tabs>
              <w:rPr>
                <w:rFonts w:cs="Arial"/>
                <w:caps/>
                <w:sz w:val="20"/>
                <w:szCs w:val="20"/>
              </w:rPr>
            </w:pPr>
            <w:r>
              <w:rPr>
                <w:rFonts w:cs="Arial"/>
                <w:caps/>
                <w:sz w:val="20"/>
                <w:szCs w:val="20"/>
              </w:rPr>
              <w:t>HUB</w:t>
            </w:r>
            <w:r w:rsidRPr="00A447BA">
              <w:rPr>
                <w:rFonts w:cs="Arial"/>
                <w:caps/>
                <w:sz w:val="20"/>
                <w:szCs w:val="20"/>
              </w:rPr>
              <w:t xml:space="preserve"> updates</w:t>
            </w:r>
            <w:r>
              <w:rPr>
                <w:rFonts w:cs="Arial"/>
                <w:caps/>
                <w:sz w:val="20"/>
                <w:szCs w:val="20"/>
              </w:rPr>
              <w:tab/>
            </w:r>
            <w:r>
              <w:rPr>
                <w:rFonts w:cs="Arial"/>
                <w:caps/>
                <w:sz w:val="20"/>
                <w:szCs w:val="20"/>
              </w:rPr>
              <w:tab/>
            </w:r>
          </w:p>
        </w:tc>
        <w:tc>
          <w:tcPr>
            <w:tcW w:w="2256" w:type="dxa"/>
          </w:tcPr>
          <w:p w14:paraId="1938A101" w14:textId="77777777" w:rsidR="001D36C6" w:rsidRPr="00A447BA" w:rsidRDefault="001D36C6" w:rsidP="00DA1C32">
            <w:pPr>
              <w:pStyle w:val="NoSpacing"/>
              <w:cnfStyle w:val="100000000000" w:firstRow="1" w:lastRow="0" w:firstColumn="0" w:lastColumn="0" w:oddVBand="0" w:evenVBand="0" w:oddHBand="0" w:evenHBand="0" w:firstRowFirstColumn="0" w:firstRowLastColumn="0" w:lastRowFirstColumn="0" w:lastRowLastColumn="0"/>
              <w:rPr>
                <w:rFonts w:cs="Arial"/>
                <w:sz w:val="20"/>
                <w:szCs w:val="20"/>
              </w:rPr>
            </w:pPr>
            <w:r w:rsidRPr="00A447BA">
              <w:rPr>
                <w:rFonts w:cs="Arial"/>
                <w:caps/>
                <w:sz w:val="20"/>
                <w:szCs w:val="20"/>
              </w:rPr>
              <w:t>LINK</w:t>
            </w:r>
          </w:p>
        </w:tc>
      </w:tr>
      <w:tr w:rsidR="001D36C6" w:rsidRPr="00A27D83" w14:paraId="7182142E" w14:textId="77777777" w:rsidTr="5614EEA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3284B15E" w14:textId="27026316" w:rsidR="001D36C6" w:rsidRPr="008029F0" w:rsidRDefault="005B3D1C" w:rsidP="005B3D1C">
            <w:pPr>
              <w:pStyle w:val="NoSpacing"/>
              <w:rPr>
                <w:sz w:val="20"/>
                <w:szCs w:val="22"/>
              </w:rPr>
            </w:pPr>
            <w:r w:rsidRPr="008029F0">
              <w:rPr>
                <w:b w:val="0"/>
                <w:bCs w:val="0"/>
                <w:sz w:val="20"/>
                <w:szCs w:val="22"/>
              </w:rPr>
              <w:t>The Hub ha</w:t>
            </w:r>
            <w:r w:rsidR="00B15819">
              <w:rPr>
                <w:b w:val="0"/>
                <w:bCs w:val="0"/>
                <w:sz w:val="20"/>
                <w:szCs w:val="22"/>
              </w:rPr>
              <w:t>s</w:t>
            </w:r>
            <w:r w:rsidRPr="008029F0">
              <w:rPr>
                <w:b w:val="0"/>
                <w:bCs w:val="0"/>
                <w:sz w:val="20"/>
                <w:szCs w:val="22"/>
              </w:rPr>
              <w:t xml:space="preserve"> published</w:t>
            </w:r>
            <w:r w:rsidR="008F1EF0" w:rsidRPr="008029F0">
              <w:rPr>
                <w:b w:val="0"/>
                <w:bCs w:val="0"/>
                <w:sz w:val="20"/>
                <w:szCs w:val="22"/>
              </w:rPr>
              <w:t xml:space="preserve"> </w:t>
            </w:r>
            <w:r w:rsidR="003A43EF" w:rsidRPr="008029F0">
              <w:rPr>
                <w:b w:val="0"/>
                <w:bCs w:val="0"/>
                <w:sz w:val="20"/>
                <w:szCs w:val="22"/>
              </w:rPr>
              <w:t>our</w:t>
            </w:r>
            <w:r w:rsidR="008F1EF0" w:rsidRPr="008029F0">
              <w:rPr>
                <w:b w:val="0"/>
                <w:bCs w:val="0"/>
                <w:sz w:val="20"/>
                <w:szCs w:val="22"/>
              </w:rPr>
              <w:t xml:space="preserve"> first annual </w:t>
            </w:r>
            <w:r w:rsidR="00B15819">
              <w:rPr>
                <w:b w:val="0"/>
                <w:bCs w:val="0"/>
                <w:sz w:val="20"/>
                <w:szCs w:val="22"/>
              </w:rPr>
              <w:t>S</w:t>
            </w:r>
            <w:r w:rsidR="008F1EF0" w:rsidRPr="008029F0">
              <w:rPr>
                <w:b w:val="0"/>
                <w:bCs w:val="0"/>
                <w:sz w:val="20"/>
                <w:szCs w:val="22"/>
              </w:rPr>
              <w:t xml:space="preserve">takeholder </w:t>
            </w:r>
            <w:r w:rsidR="00B15819">
              <w:rPr>
                <w:b w:val="0"/>
                <w:bCs w:val="0"/>
                <w:sz w:val="20"/>
                <w:szCs w:val="22"/>
              </w:rPr>
              <w:t>R</w:t>
            </w:r>
            <w:r w:rsidR="008F1EF0" w:rsidRPr="008029F0">
              <w:rPr>
                <w:b w:val="0"/>
                <w:bCs w:val="0"/>
                <w:sz w:val="20"/>
                <w:szCs w:val="22"/>
              </w:rPr>
              <w:t>eport</w:t>
            </w:r>
            <w:r w:rsidR="007F664C" w:rsidRPr="008029F0">
              <w:rPr>
                <w:b w:val="0"/>
                <w:bCs w:val="0"/>
                <w:sz w:val="20"/>
                <w:szCs w:val="22"/>
              </w:rPr>
              <w:t xml:space="preserve"> </w:t>
            </w:r>
            <w:r w:rsidR="00385B08" w:rsidRPr="008029F0">
              <w:rPr>
                <w:b w:val="0"/>
                <w:bCs w:val="0"/>
                <w:sz w:val="20"/>
                <w:szCs w:val="22"/>
              </w:rPr>
              <w:t>sharing some of the North East and Yorkshire’s Net Zero successes and introducing some of the major programmes we want to work with you to deliver over the year ahead.</w:t>
            </w:r>
          </w:p>
          <w:p w14:paraId="461D78EA" w14:textId="03193280" w:rsidR="00017DAB" w:rsidRPr="005B3D1C" w:rsidRDefault="00017DAB" w:rsidP="005B3D1C">
            <w:pPr>
              <w:pStyle w:val="NoSpacing"/>
              <w:rPr>
                <w:b w:val="0"/>
                <w:bCs w:val="0"/>
              </w:rPr>
            </w:pPr>
          </w:p>
        </w:tc>
        <w:tc>
          <w:tcPr>
            <w:tcW w:w="2256" w:type="dxa"/>
          </w:tcPr>
          <w:p w14:paraId="73B49341" w14:textId="396BAF2F" w:rsidR="001D36C6" w:rsidRPr="00A27D83" w:rsidRDefault="00611308" w:rsidP="00DA1C32">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hyperlink r:id="rId10" w:history="1">
              <w:r w:rsidR="00385B08">
                <w:rPr>
                  <w:rStyle w:val="Hyperlink"/>
                  <w:rFonts w:cs="Arial"/>
                  <w:sz w:val="20"/>
                  <w:szCs w:val="20"/>
                </w:rPr>
                <w:t>North East &amp; Yorkshire Net Zero Hub</w:t>
              </w:r>
            </w:hyperlink>
          </w:p>
        </w:tc>
      </w:tr>
    </w:tbl>
    <w:p w14:paraId="1FAE9FB5" w14:textId="77777777" w:rsidR="007A0444" w:rsidRPr="007A0444" w:rsidRDefault="007A0444" w:rsidP="007A0444">
      <w:pPr>
        <w:pStyle w:val="NoSpacing"/>
      </w:pPr>
    </w:p>
    <w:tbl>
      <w:tblPr>
        <w:tblStyle w:val="ListTable3-Accent2"/>
        <w:tblW w:w="0" w:type="auto"/>
        <w:tblLook w:val="04A0" w:firstRow="1" w:lastRow="0" w:firstColumn="1" w:lastColumn="0" w:noHBand="0" w:noVBand="1"/>
      </w:tblPr>
      <w:tblGrid>
        <w:gridCol w:w="7366"/>
        <w:gridCol w:w="2256"/>
      </w:tblGrid>
      <w:tr w:rsidR="005412FD" w:rsidRPr="00A447BA" w14:paraId="3E823278" w14:textId="77777777" w:rsidTr="726E8429">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7366" w:type="dxa"/>
          </w:tcPr>
          <w:p w14:paraId="1B2B206A" w14:textId="573DE03F" w:rsidR="005412FD" w:rsidRPr="00A447BA" w:rsidRDefault="005412FD" w:rsidP="00FA07FD">
            <w:pPr>
              <w:tabs>
                <w:tab w:val="left" w:pos="3870"/>
                <w:tab w:val="left" w:pos="6270"/>
              </w:tabs>
              <w:rPr>
                <w:rFonts w:cs="Arial"/>
                <w:caps/>
                <w:sz w:val="20"/>
                <w:szCs w:val="20"/>
              </w:rPr>
            </w:pPr>
            <w:r w:rsidRPr="00A447BA">
              <w:rPr>
                <w:rFonts w:cs="Arial"/>
                <w:caps/>
                <w:sz w:val="20"/>
                <w:szCs w:val="20"/>
              </w:rPr>
              <w:t>Strategy</w:t>
            </w:r>
            <w:r w:rsidR="00992DBB" w:rsidRPr="00A447BA">
              <w:rPr>
                <w:rFonts w:cs="Arial"/>
                <w:caps/>
                <w:sz w:val="20"/>
                <w:szCs w:val="20"/>
              </w:rPr>
              <w:t>/policy updates</w:t>
            </w:r>
            <w:r w:rsidR="00FA07FD">
              <w:rPr>
                <w:rFonts w:cs="Arial"/>
                <w:caps/>
                <w:sz w:val="20"/>
                <w:szCs w:val="20"/>
              </w:rPr>
              <w:tab/>
            </w:r>
            <w:r w:rsidR="00FA07FD">
              <w:rPr>
                <w:rFonts w:cs="Arial"/>
                <w:caps/>
                <w:sz w:val="20"/>
                <w:szCs w:val="20"/>
              </w:rPr>
              <w:tab/>
            </w:r>
          </w:p>
        </w:tc>
        <w:tc>
          <w:tcPr>
            <w:tcW w:w="2256" w:type="dxa"/>
          </w:tcPr>
          <w:p w14:paraId="60873828" w14:textId="77777777" w:rsidR="005412FD" w:rsidRPr="00A447BA" w:rsidRDefault="005412FD" w:rsidP="00B469CB">
            <w:pPr>
              <w:pStyle w:val="NoSpacing"/>
              <w:cnfStyle w:val="100000000000" w:firstRow="1" w:lastRow="0" w:firstColumn="0" w:lastColumn="0" w:oddVBand="0" w:evenVBand="0" w:oddHBand="0" w:evenHBand="0" w:firstRowFirstColumn="0" w:firstRowLastColumn="0" w:lastRowFirstColumn="0" w:lastRowLastColumn="0"/>
              <w:rPr>
                <w:rFonts w:cs="Arial"/>
                <w:sz w:val="20"/>
                <w:szCs w:val="20"/>
              </w:rPr>
            </w:pPr>
            <w:r w:rsidRPr="00A447BA">
              <w:rPr>
                <w:rFonts w:cs="Arial"/>
                <w:caps/>
                <w:sz w:val="20"/>
                <w:szCs w:val="20"/>
              </w:rPr>
              <w:t>LINK</w:t>
            </w:r>
          </w:p>
        </w:tc>
      </w:tr>
      <w:tr w:rsidR="00506BC1" w:rsidRPr="00A27D83" w14:paraId="28B2B18D" w14:textId="77777777" w:rsidTr="00506BC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6E018FA0" w14:textId="3B28753B" w:rsidR="00506BC1" w:rsidRPr="00C87B83" w:rsidRDefault="00506BC1" w:rsidP="00506BC1">
            <w:pPr>
              <w:pStyle w:val="NoSpacing"/>
              <w:rPr>
                <w:sz w:val="20"/>
                <w:szCs w:val="20"/>
              </w:rPr>
            </w:pPr>
            <w:r w:rsidRPr="00153A8D">
              <w:rPr>
                <w:b w:val="0"/>
                <w:bCs w:val="0"/>
                <w:sz w:val="20"/>
                <w:szCs w:val="20"/>
              </w:rPr>
              <w:t>Parliament ha</w:t>
            </w:r>
            <w:r>
              <w:rPr>
                <w:b w:val="0"/>
                <w:bCs w:val="0"/>
                <w:sz w:val="20"/>
                <w:szCs w:val="20"/>
              </w:rPr>
              <w:t>s</w:t>
            </w:r>
            <w:r w:rsidRPr="00153A8D">
              <w:rPr>
                <w:b w:val="0"/>
                <w:bCs w:val="0"/>
                <w:sz w:val="20"/>
                <w:szCs w:val="20"/>
              </w:rPr>
              <w:t xml:space="preserve"> published a briefing on Local </w:t>
            </w:r>
            <w:r>
              <w:rPr>
                <w:b w:val="0"/>
                <w:bCs w:val="0"/>
                <w:sz w:val="20"/>
                <w:szCs w:val="20"/>
              </w:rPr>
              <w:t>A</w:t>
            </w:r>
            <w:r w:rsidRPr="00153A8D">
              <w:rPr>
                <w:b w:val="0"/>
                <w:bCs w:val="0"/>
                <w:sz w:val="20"/>
                <w:szCs w:val="20"/>
              </w:rPr>
              <w:t xml:space="preserve">rea </w:t>
            </w:r>
            <w:r>
              <w:rPr>
                <w:b w:val="0"/>
                <w:bCs w:val="0"/>
                <w:sz w:val="20"/>
                <w:szCs w:val="20"/>
              </w:rPr>
              <w:t>E</w:t>
            </w:r>
            <w:r w:rsidRPr="00153A8D">
              <w:rPr>
                <w:b w:val="0"/>
                <w:bCs w:val="0"/>
                <w:sz w:val="20"/>
                <w:szCs w:val="20"/>
              </w:rPr>
              <w:t xml:space="preserve">nergy </w:t>
            </w:r>
            <w:r w:rsidR="00D52738">
              <w:rPr>
                <w:b w:val="0"/>
                <w:bCs w:val="0"/>
                <w:sz w:val="20"/>
                <w:szCs w:val="20"/>
              </w:rPr>
              <w:t>P</w:t>
            </w:r>
            <w:r w:rsidRPr="00153A8D">
              <w:rPr>
                <w:b w:val="0"/>
                <w:bCs w:val="0"/>
                <w:sz w:val="20"/>
                <w:szCs w:val="20"/>
              </w:rPr>
              <w:t>lanning</w:t>
            </w:r>
            <w:r w:rsidR="00CC4E73">
              <w:rPr>
                <w:b w:val="0"/>
                <w:bCs w:val="0"/>
                <w:sz w:val="20"/>
                <w:szCs w:val="20"/>
              </w:rPr>
              <w:t>, d</w:t>
            </w:r>
            <w:r w:rsidR="00EB1BFE">
              <w:rPr>
                <w:b w:val="0"/>
                <w:bCs w:val="0"/>
                <w:sz w:val="20"/>
                <w:szCs w:val="20"/>
              </w:rPr>
              <w:t>escribing it as “</w:t>
            </w:r>
            <w:r w:rsidR="00EB1BFE" w:rsidRPr="00C87B83">
              <w:rPr>
                <w:b w:val="0"/>
                <w:bCs w:val="0"/>
                <w:sz w:val="20"/>
                <w:szCs w:val="20"/>
              </w:rPr>
              <w:t xml:space="preserve">a relatively new process </w:t>
            </w:r>
            <w:r w:rsidR="00CC4E73" w:rsidRPr="00C87B83">
              <w:rPr>
                <w:b w:val="0"/>
                <w:bCs w:val="0"/>
                <w:sz w:val="20"/>
                <w:szCs w:val="20"/>
              </w:rPr>
              <w:t xml:space="preserve">that aims to deliver Net Zero targets more effectively at the regional </w:t>
            </w:r>
            <w:r w:rsidR="00C87B83" w:rsidRPr="00C87B83">
              <w:rPr>
                <w:b w:val="0"/>
                <w:bCs w:val="0"/>
                <w:sz w:val="20"/>
                <w:szCs w:val="20"/>
              </w:rPr>
              <w:t>level”.</w:t>
            </w:r>
          </w:p>
          <w:p w14:paraId="11C20B98" w14:textId="77777777" w:rsidR="00506BC1" w:rsidRDefault="00506BC1" w:rsidP="00506BC1">
            <w:pPr>
              <w:pStyle w:val="NoSpacing"/>
              <w:rPr>
                <w:sz w:val="20"/>
                <w:szCs w:val="20"/>
              </w:rPr>
            </w:pPr>
          </w:p>
          <w:p w14:paraId="08E8B14F" w14:textId="783B3E8C" w:rsidR="00506BC1" w:rsidRPr="00506BC1" w:rsidRDefault="00506BC1" w:rsidP="00506BC1">
            <w:pPr>
              <w:pStyle w:val="NoSpacing"/>
              <w:rPr>
                <w:i/>
                <w:iCs/>
                <w:sz w:val="20"/>
                <w:szCs w:val="20"/>
              </w:rPr>
            </w:pPr>
            <w:r w:rsidRPr="00506BC1">
              <w:rPr>
                <w:b w:val="0"/>
                <w:bCs w:val="0"/>
                <w:i/>
                <w:iCs/>
                <w:sz w:val="20"/>
                <w:szCs w:val="20"/>
              </w:rPr>
              <w:t xml:space="preserve">The North East and Yorkshire Hub contributed to this briefing through the York and North Yorkshire Regional Project Manager. </w:t>
            </w:r>
          </w:p>
          <w:p w14:paraId="78B3F911" w14:textId="77777777" w:rsidR="00506BC1" w:rsidRPr="008029F0" w:rsidRDefault="00506BC1" w:rsidP="00506BC1">
            <w:pPr>
              <w:pStyle w:val="NoSpacing"/>
              <w:rPr>
                <w:sz w:val="20"/>
                <w:szCs w:val="20"/>
              </w:rPr>
            </w:pPr>
          </w:p>
        </w:tc>
        <w:tc>
          <w:tcPr>
            <w:tcW w:w="2256" w:type="dxa"/>
          </w:tcPr>
          <w:p w14:paraId="2B66FADD" w14:textId="70C84048" w:rsidR="00506BC1" w:rsidRDefault="00611308" w:rsidP="00506BC1">
            <w:pPr>
              <w:pStyle w:val="NoSpacing"/>
              <w:cnfStyle w:val="000000100000" w:firstRow="0" w:lastRow="0" w:firstColumn="0" w:lastColumn="0" w:oddVBand="0" w:evenVBand="0" w:oddHBand="1" w:evenHBand="0" w:firstRowFirstColumn="0" w:firstRowLastColumn="0" w:lastRowFirstColumn="0" w:lastRowLastColumn="0"/>
            </w:pPr>
            <w:hyperlink r:id="rId11" w:history="1">
              <w:r w:rsidR="00506BC1">
                <w:rPr>
                  <w:rStyle w:val="Hyperlink"/>
                  <w:rFonts w:cs="Arial"/>
                  <w:sz w:val="20"/>
                  <w:szCs w:val="20"/>
                </w:rPr>
                <w:t>UK Parliament</w:t>
              </w:r>
            </w:hyperlink>
          </w:p>
        </w:tc>
      </w:tr>
      <w:tr w:rsidR="00E15C25" w:rsidRPr="00A27D83" w14:paraId="33CEBD7B" w14:textId="77777777" w:rsidTr="00506BC1">
        <w:trPr>
          <w:trHeight w:val="309"/>
        </w:trPr>
        <w:tc>
          <w:tcPr>
            <w:cnfStyle w:val="001000000000" w:firstRow="0" w:lastRow="0" w:firstColumn="1" w:lastColumn="0" w:oddVBand="0" w:evenVBand="0" w:oddHBand="0" w:evenHBand="0" w:firstRowFirstColumn="0" w:firstRowLastColumn="0" w:lastRowFirstColumn="0" w:lastRowLastColumn="0"/>
            <w:tcW w:w="7366" w:type="dxa"/>
          </w:tcPr>
          <w:p w14:paraId="6DB736B4" w14:textId="28811FBC" w:rsidR="00D15248" w:rsidRPr="00E557C8" w:rsidRDefault="00D15248" w:rsidP="004A0B3B">
            <w:pPr>
              <w:pStyle w:val="NoSpacing"/>
              <w:rPr>
                <w:rFonts w:cs="Arial"/>
                <w:color w:val="0B0C0C"/>
                <w:sz w:val="20"/>
                <w:szCs w:val="20"/>
              </w:rPr>
            </w:pPr>
            <w:r w:rsidRPr="00E557C8">
              <w:rPr>
                <w:rFonts w:cs="Arial"/>
                <w:color w:val="0B0C0C"/>
                <w:sz w:val="20"/>
                <w:szCs w:val="20"/>
              </w:rPr>
              <w:t>Successful projects have been announced in the Local Energy Advice Demonstrator competition, which support</w:t>
            </w:r>
            <w:r w:rsidR="00C369FC">
              <w:rPr>
                <w:rFonts w:cs="Arial"/>
                <w:color w:val="0B0C0C"/>
                <w:sz w:val="20"/>
                <w:szCs w:val="20"/>
              </w:rPr>
              <w:t>s</w:t>
            </w:r>
            <w:r w:rsidRPr="00E557C8">
              <w:rPr>
                <w:rFonts w:cs="Arial"/>
                <w:color w:val="0B0C0C"/>
                <w:sz w:val="20"/>
                <w:szCs w:val="20"/>
              </w:rPr>
              <w:t xml:space="preserve"> new and innovative approaches to delivering in-person energy efficiency and clean heating advice for hard-to-reach communities and in hard</w:t>
            </w:r>
            <w:r w:rsidR="00C369FC">
              <w:rPr>
                <w:rFonts w:cs="Arial"/>
                <w:color w:val="0B0C0C"/>
                <w:sz w:val="20"/>
                <w:szCs w:val="20"/>
              </w:rPr>
              <w:t>-</w:t>
            </w:r>
            <w:r w:rsidRPr="00E557C8">
              <w:rPr>
                <w:rFonts w:cs="Arial"/>
                <w:color w:val="0B0C0C"/>
                <w:sz w:val="20"/>
                <w:szCs w:val="20"/>
              </w:rPr>
              <w:t>to</w:t>
            </w:r>
            <w:r w:rsidR="00C369FC">
              <w:rPr>
                <w:rFonts w:cs="Arial"/>
                <w:color w:val="0B0C0C"/>
                <w:sz w:val="20"/>
                <w:szCs w:val="20"/>
              </w:rPr>
              <w:t>-</w:t>
            </w:r>
            <w:r w:rsidRPr="00E557C8">
              <w:rPr>
                <w:rFonts w:cs="Arial"/>
                <w:color w:val="0B0C0C"/>
                <w:sz w:val="20"/>
                <w:szCs w:val="20"/>
              </w:rPr>
              <w:t xml:space="preserve">treat homes. </w:t>
            </w:r>
          </w:p>
          <w:p w14:paraId="28BA798C" w14:textId="77777777" w:rsidR="00D15248" w:rsidRPr="00E557C8" w:rsidRDefault="00D15248" w:rsidP="00D15248">
            <w:pPr>
              <w:pStyle w:val="NoSpacing"/>
              <w:rPr>
                <w:rFonts w:cs="Arial"/>
                <w:color w:val="0B0C0C"/>
                <w:sz w:val="20"/>
                <w:szCs w:val="20"/>
              </w:rPr>
            </w:pPr>
          </w:p>
          <w:p w14:paraId="14D5C7E7" w14:textId="77777777" w:rsidR="00D15248" w:rsidRPr="00E557C8" w:rsidRDefault="00D15248" w:rsidP="00D15248">
            <w:pPr>
              <w:pStyle w:val="NoSpacing"/>
              <w:rPr>
                <w:rFonts w:cs="Arial"/>
                <w:color w:val="0B0C0C"/>
                <w:sz w:val="20"/>
                <w:szCs w:val="20"/>
              </w:rPr>
            </w:pPr>
            <w:r w:rsidRPr="00E557C8">
              <w:rPr>
                <w:rFonts w:cs="Arial"/>
                <w:color w:val="0B0C0C"/>
                <w:sz w:val="20"/>
                <w:szCs w:val="20"/>
              </w:rPr>
              <w:t xml:space="preserve">Seven projects from the North East and Yorkshire Hub region secured funding, including: </w:t>
            </w:r>
          </w:p>
          <w:p w14:paraId="6862ACCD" w14:textId="7CAB2F95" w:rsidR="00D15248" w:rsidRPr="00E557C8" w:rsidRDefault="00D15248" w:rsidP="00BF6BE8">
            <w:pPr>
              <w:pStyle w:val="NoSpacing"/>
              <w:numPr>
                <w:ilvl w:val="0"/>
                <w:numId w:val="5"/>
              </w:numPr>
              <w:rPr>
                <w:rFonts w:cs="Arial"/>
                <w:color w:val="0B0C0C"/>
                <w:sz w:val="20"/>
                <w:szCs w:val="20"/>
              </w:rPr>
            </w:pPr>
            <w:r w:rsidRPr="00E557C8">
              <w:rPr>
                <w:rFonts w:cs="Arial"/>
                <w:color w:val="0B0C0C"/>
                <w:sz w:val="20"/>
                <w:szCs w:val="20"/>
              </w:rPr>
              <w:t xml:space="preserve">Groundwork Yorkshire: </w:t>
            </w:r>
            <w:r w:rsidR="00C369FC">
              <w:rPr>
                <w:rFonts w:cs="Arial"/>
                <w:color w:val="0B0C0C"/>
                <w:sz w:val="20"/>
                <w:szCs w:val="20"/>
              </w:rPr>
              <w:t>T</w:t>
            </w:r>
            <w:r w:rsidRPr="00E557C8">
              <w:rPr>
                <w:rFonts w:cs="Arial"/>
                <w:color w:val="0B0C0C"/>
                <w:sz w:val="20"/>
                <w:szCs w:val="20"/>
              </w:rPr>
              <w:t>arget</w:t>
            </w:r>
            <w:r w:rsidR="00C369FC">
              <w:rPr>
                <w:rFonts w:cs="Arial"/>
                <w:color w:val="0B0C0C"/>
                <w:sz w:val="20"/>
                <w:szCs w:val="20"/>
              </w:rPr>
              <w:t>ing</w:t>
            </w:r>
            <w:r w:rsidRPr="00E557C8">
              <w:rPr>
                <w:rFonts w:cs="Arial"/>
                <w:color w:val="0B0C0C"/>
                <w:sz w:val="20"/>
                <w:szCs w:val="20"/>
              </w:rPr>
              <w:t xml:space="preserve"> older and lower-income private sector rental tenants and owner-occupiers</w:t>
            </w:r>
            <w:r w:rsidR="00C369FC">
              <w:rPr>
                <w:rFonts w:cs="Arial"/>
                <w:color w:val="0B0C0C"/>
                <w:sz w:val="20"/>
                <w:szCs w:val="20"/>
              </w:rPr>
              <w:t xml:space="preserve"> with in-house advice</w:t>
            </w:r>
          </w:p>
          <w:p w14:paraId="03BFBFF0" w14:textId="74C6C5D3" w:rsidR="00D15248" w:rsidRPr="00E557C8" w:rsidRDefault="00D15248" w:rsidP="00BF6BE8">
            <w:pPr>
              <w:pStyle w:val="NoSpacing"/>
              <w:numPr>
                <w:ilvl w:val="0"/>
                <w:numId w:val="5"/>
              </w:numPr>
              <w:rPr>
                <w:rFonts w:cs="Arial"/>
                <w:color w:val="0B0C0C"/>
                <w:sz w:val="20"/>
                <w:szCs w:val="20"/>
              </w:rPr>
            </w:pPr>
            <w:r w:rsidRPr="00E557C8">
              <w:rPr>
                <w:rFonts w:cs="Arial"/>
                <w:color w:val="0B0C0C"/>
                <w:sz w:val="20"/>
                <w:szCs w:val="20"/>
              </w:rPr>
              <w:t xml:space="preserve">Yes Energy (West Yorkshire): </w:t>
            </w:r>
            <w:r w:rsidR="00C369FC">
              <w:rPr>
                <w:rFonts w:cs="Arial"/>
                <w:color w:val="0B0C0C"/>
                <w:sz w:val="20"/>
                <w:szCs w:val="20"/>
              </w:rPr>
              <w:t>S</w:t>
            </w:r>
            <w:r w:rsidRPr="00E557C8">
              <w:rPr>
                <w:rFonts w:cs="Arial"/>
                <w:color w:val="0B0C0C"/>
                <w:sz w:val="20"/>
                <w:szCs w:val="20"/>
              </w:rPr>
              <w:t>upport</w:t>
            </w:r>
            <w:r w:rsidR="00C369FC">
              <w:rPr>
                <w:rFonts w:cs="Arial"/>
                <w:color w:val="0B0C0C"/>
                <w:sz w:val="20"/>
                <w:szCs w:val="20"/>
              </w:rPr>
              <w:t>ing</w:t>
            </w:r>
            <w:r w:rsidRPr="00E557C8">
              <w:rPr>
                <w:rFonts w:cs="Arial"/>
                <w:color w:val="0B0C0C"/>
                <w:sz w:val="20"/>
                <w:szCs w:val="20"/>
              </w:rPr>
              <w:t xml:space="preserve"> the digitally excluded, including low income and ethnic minority groups, with </w:t>
            </w:r>
            <w:r w:rsidR="004A0B3B" w:rsidRPr="00E557C8">
              <w:rPr>
                <w:rFonts w:cs="Arial"/>
                <w:color w:val="0B0C0C"/>
                <w:sz w:val="20"/>
                <w:szCs w:val="20"/>
              </w:rPr>
              <w:t>assessment</w:t>
            </w:r>
            <w:r w:rsidR="00C369FC">
              <w:rPr>
                <w:rFonts w:cs="Arial"/>
                <w:color w:val="0B0C0C"/>
                <w:sz w:val="20"/>
                <w:szCs w:val="20"/>
              </w:rPr>
              <w:t>s</w:t>
            </w:r>
            <w:r w:rsidR="004A0B3B" w:rsidRPr="00E557C8">
              <w:rPr>
                <w:rFonts w:cs="Arial"/>
                <w:color w:val="0B0C0C"/>
                <w:sz w:val="20"/>
                <w:szCs w:val="20"/>
              </w:rPr>
              <w:t xml:space="preserve"> detail</w:t>
            </w:r>
            <w:r w:rsidR="00C369FC">
              <w:rPr>
                <w:rFonts w:cs="Arial"/>
                <w:color w:val="0B0C0C"/>
                <w:sz w:val="20"/>
                <w:szCs w:val="20"/>
              </w:rPr>
              <w:t>ing</w:t>
            </w:r>
            <w:r w:rsidR="004A0B3B" w:rsidRPr="00E557C8">
              <w:rPr>
                <w:rFonts w:cs="Arial"/>
                <w:color w:val="0B0C0C"/>
                <w:sz w:val="20"/>
                <w:szCs w:val="20"/>
              </w:rPr>
              <w:t xml:space="preserve"> measures suitable for their homes. </w:t>
            </w:r>
          </w:p>
          <w:p w14:paraId="211B1354" w14:textId="52612AD2" w:rsidR="00D15248" w:rsidRPr="00E557C8" w:rsidRDefault="00D15248" w:rsidP="00BF6BE8">
            <w:pPr>
              <w:pStyle w:val="NoSpacing"/>
              <w:numPr>
                <w:ilvl w:val="0"/>
                <w:numId w:val="5"/>
              </w:numPr>
              <w:rPr>
                <w:rFonts w:cs="Arial"/>
                <w:color w:val="0B0C0C"/>
                <w:sz w:val="20"/>
                <w:szCs w:val="20"/>
              </w:rPr>
            </w:pPr>
            <w:r w:rsidRPr="00E557C8">
              <w:rPr>
                <w:rFonts w:cs="Arial"/>
                <w:color w:val="0B0C0C"/>
                <w:sz w:val="20"/>
                <w:szCs w:val="20"/>
              </w:rPr>
              <w:t>North Yorkshire LEAD</w:t>
            </w:r>
            <w:r w:rsidR="004A0B3B" w:rsidRPr="00E557C8">
              <w:rPr>
                <w:rFonts w:cs="Arial"/>
                <w:color w:val="0B0C0C"/>
                <w:sz w:val="20"/>
                <w:szCs w:val="20"/>
              </w:rPr>
              <w:t>: A m</w:t>
            </w:r>
            <w:r w:rsidRPr="00E557C8">
              <w:rPr>
                <w:rFonts w:cs="Arial"/>
                <w:color w:val="0B0C0C"/>
                <w:sz w:val="20"/>
                <w:szCs w:val="20"/>
              </w:rPr>
              <w:t xml:space="preserve">ulti-site pilot </w:t>
            </w:r>
            <w:r w:rsidR="004A0B3B" w:rsidRPr="00E557C8">
              <w:rPr>
                <w:rFonts w:cs="Arial"/>
                <w:color w:val="0B0C0C"/>
                <w:sz w:val="20"/>
                <w:szCs w:val="20"/>
              </w:rPr>
              <w:t xml:space="preserve">aiming </w:t>
            </w:r>
            <w:r w:rsidR="00E557C8" w:rsidRPr="00E557C8">
              <w:rPr>
                <w:rFonts w:cs="Arial"/>
                <w:color w:val="0B0C0C"/>
                <w:sz w:val="20"/>
                <w:szCs w:val="20"/>
              </w:rPr>
              <w:t>to overcome</w:t>
            </w:r>
            <w:r w:rsidRPr="00E557C8">
              <w:rPr>
                <w:rFonts w:cs="Arial"/>
                <w:color w:val="0B0C0C"/>
                <w:sz w:val="20"/>
                <w:szCs w:val="20"/>
              </w:rPr>
              <w:t xml:space="preserve"> lack of confidence in retrofit and a lack of communication among installers. </w:t>
            </w:r>
            <w:r w:rsidR="00E557C8" w:rsidRPr="00E557C8">
              <w:rPr>
                <w:rFonts w:cs="Arial"/>
                <w:color w:val="0B0C0C"/>
                <w:sz w:val="20"/>
                <w:szCs w:val="20"/>
              </w:rPr>
              <w:t>A retrofit bus will be used to reach consumers.</w:t>
            </w:r>
          </w:p>
          <w:p w14:paraId="62444BB6" w14:textId="59CB6E00" w:rsidR="00D15248" w:rsidRPr="00E557C8" w:rsidRDefault="00D15248" w:rsidP="00BF6BE8">
            <w:pPr>
              <w:pStyle w:val="NoSpacing"/>
              <w:numPr>
                <w:ilvl w:val="0"/>
                <w:numId w:val="5"/>
              </w:numPr>
              <w:rPr>
                <w:rFonts w:cs="Arial"/>
                <w:b w:val="0"/>
                <w:bCs w:val="0"/>
                <w:color w:val="0B0C0C"/>
                <w:sz w:val="20"/>
                <w:szCs w:val="20"/>
              </w:rPr>
            </w:pPr>
            <w:r w:rsidRPr="00E557C8">
              <w:rPr>
                <w:rFonts w:cs="Arial"/>
                <w:b w:val="0"/>
                <w:bCs w:val="0"/>
                <w:color w:val="0B0C0C"/>
                <w:sz w:val="20"/>
                <w:szCs w:val="20"/>
              </w:rPr>
              <w:t>West Yorkshire Combined Authority</w:t>
            </w:r>
            <w:r w:rsidR="00C369FC">
              <w:rPr>
                <w:rFonts w:cs="Arial"/>
                <w:b w:val="0"/>
                <w:bCs w:val="0"/>
                <w:color w:val="0B0C0C"/>
                <w:sz w:val="20"/>
                <w:szCs w:val="20"/>
              </w:rPr>
              <w:t xml:space="preserve"> LEAD</w:t>
            </w:r>
            <w:r w:rsidR="00E557C8" w:rsidRPr="00BD681A">
              <w:rPr>
                <w:rFonts w:cs="Arial"/>
                <w:b w:val="0"/>
                <w:bCs w:val="0"/>
                <w:color w:val="0B0C0C"/>
                <w:sz w:val="20"/>
                <w:szCs w:val="20"/>
              </w:rPr>
              <w:t xml:space="preserve">: </w:t>
            </w:r>
            <w:r w:rsidR="00E557C8" w:rsidRPr="00E557C8">
              <w:rPr>
                <w:rFonts w:cs="Arial"/>
                <w:b w:val="0"/>
                <w:bCs w:val="0"/>
                <w:color w:val="0B0C0C"/>
                <w:sz w:val="20"/>
                <w:szCs w:val="20"/>
              </w:rPr>
              <w:t>The project will f</w:t>
            </w:r>
            <w:r w:rsidRPr="00E557C8">
              <w:rPr>
                <w:rFonts w:cs="Arial"/>
                <w:b w:val="0"/>
                <w:bCs w:val="0"/>
                <w:color w:val="0B0C0C"/>
                <w:sz w:val="20"/>
                <w:szCs w:val="20"/>
              </w:rPr>
              <w:t>ocus</w:t>
            </w:r>
            <w:r w:rsidR="00C369FC">
              <w:rPr>
                <w:rFonts w:cs="Arial"/>
                <w:b w:val="0"/>
                <w:bCs w:val="0"/>
                <w:color w:val="0B0C0C"/>
                <w:sz w:val="20"/>
                <w:szCs w:val="20"/>
              </w:rPr>
              <w:t xml:space="preserve"> </w:t>
            </w:r>
            <w:r w:rsidRPr="00E557C8">
              <w:rPr>
                <w:rFonts w:cs="Arial"/>
                <w:b w:val="0"/>
                <w:bCs w:val="0"/>
                <w:color w:val="0B0C0C"/>
                <w:sz w:val="20"/>
                <w:szCs w:val="20"/>
              </w:rPr>
              <w:t>on older people and people with low proficiency in English</w:t>
            </w:r>
            <w:r w:rsidR="00EC6CD1">
              <w:rPr>
                <w:rFonts w:cs="Arial"/>
                <w:b w:val="0"/>
                <w:bCs w:val="0"/>
                <w:color w:val="0B0C0C"/>
                <w:sz w:val="20"/>
                <w:szCs w:val="20"/>
              </w:rPr>
              <w:t>,</w:t>
            </w:r>
            <w:r w:rsidR="00E557C8" w:rsidRPr="00E557C8">
              <w:rPr>
                <w:rFonts w:cs="Arial"/>
                <w:b w:val="0"/>
                <w:bCs w:val="0"/>
                <w:color w:val="0B0C0C"/>
                <w:sz w:val="20"/>
                <w:szCs w:val="20"/>
              </w:rPr>
              <w:t xml:space="preserve"> </w:t>
            </w:r>
            <w:r w:rsidRPr="00E557C8">
              <w:rPr>
                <w:rFonts w:cs="Arial"/>
                <w:b w:val="0"/>
                <w:bCs w:val="0"/>
                <w:color w:val="0B0C0C"/>
                <w:sz w:val="20"/>
                <w:szCs w:val="20"/>
              </w:rPr>
              <w:t xml:space="preserve"> </w:t>
            </w:r>
            <w:r w:rsidR="00E557C8" w:rsidRPr="00E557C8">
              <w:rPr>
                <w:rFonts w:cs="Arial"/>
                <w:b w:val="0"/>
                <w:bCs w:val="0"/>
                <w:color w:val="0B0C0C"/>
                <w:sz w:val="20"/>
                <w:szCs w:val="20"/>
              </w:rPr>
              <w:t>providing</w:t>
            </w:r>
            <w:r w:rsidRPr="00E557C8">
              <w:rPr>
                <w:rFonts w:cs="Arial"/>
                <w:b w:val="0"/>
                <w:bCs w:val="0"/>
                <w:color w:val="0B0C0C"/>
                <w:sz w:val="20"/>
                <w:szCs w:val="20"/>
              </w:rPr>
              <w:t xml:space="preserve"> funded retrofit assessments at open homes events.</w:t>
            </w:r>
          </w:p>
          <w:p w14:paraId="71196001" w14:textId="004821EA" w:rsidR="00D15248" w:rsidRPr="00E557C8" w:rsidRDefault="00E557C8" w:rsidP="00BF6BE8">
            <w:pPr>
              <w:pStyle w:val="NoSpacing"/>
              <w:numPr>
                <w:ilvl w:val="0"/>
                <w:numId w:val="5"/>
              </w:numPr>
              <w:rPr>
                <w:rFonts w:cs="Arial"/>
                <w:color w:val="0B0C0C"/>
                <w:sz w:val="20"/>
                <w:szCs w:val="20"/>
              </w:rPr>
            </w:pPr>
            <w:r>
              <w:rPr>
                <w:rFonts w:cs="Arial"/>
                <w:color w:val="0B0C0C"/>
                <w:sz w:val="20"/>
                <w:szCs w:val="20"/>
              </w:rPr>
              <w:t>C</w:t>
            </w:r>
            <w:r w:rsidR="00D15248" w:rsidRPr="00E557C8">
              <w:rPr>
                <w:rFonts w:cs="Arial"/>
                <w:color w:val="0B0C0C"/>
                <w:sz w:val="20"/>
                <w:szCs w:val="20"/>
              </w:rPr>
              <w:t>ity of York Council</w:t>
            </w:r>
            <w:r w:rsidR="00C369FC">
              <w:rPr>
                <w:rFonts w:cs="Arial"/>
                <w:color w:val="0B0C0C"/>
                <w:sz w:val="20"/>
                <w:szCs w:val="20"/>
              </w:rPr>
              <w:t xml:space="preserve"> LEAD</w:t>
            </w:r>
            <w:r w:rsidRPr="00E557C8">
              <w:rPr>
                <w:rFonts w:cs="Arial"/>
                <w:color w:val="0B0C0C"/>
                <w:sz w:val="20"/>
                <w:szCs w:val="20"/>
              </w:rPr>
              <w:t>: Focusin</w:t>
            </w:r>
            <w:r w:rsidR="00C369FC">
              <w:rPr>
                <w:rFonts w:cs="Arial"/>
                <w:color w:val="0B0C0C"/>
                <w:sz w:val="20"/>
                <w:szCs w:val="20"/>
              </w:rPr>
              <w:t>g</w:t>
            </w:r>
            <w:r w:rsidRPr="00E557C8">
              <w:rPr>
                <w:rFonts w:cs="Arial"/>
                <w:color w:val="0B0C0C"/>
                <w:sz w:val="20"/>
                <w:szCs w:val="20"/>
              </w:rPr>
              <w:t xml:space="preserve"> on solid walled homes and homes on traveller sites.</w:t>
            </w:r>
          </w:p>
          <w:p w14:paraId="751743FF" w14:textId="71868602" w:rsidR="00D15248" w:rsidRPr="00C369FC" w:rsidRDefault="00D15248" w:rsidP="00BF6BE8">
            <w:pPr>
              <w:pStyle w:val="NoSpacing"/>
              <w:numPr>
                <w:ilvl w:val="0"/>
                <w:numId w:val="5"/>
              </w:numPr>
              <w:rPr>
                <w:rFonts w:cs="Arial"/>
                <w:color w:val="0B0C0C"/>
                <w:sz w:val="20"/>
                <w:szCs w:val="20"/>
              </w:rPr>
            </w:pPr>
            <w:r w:rsidRPr="00C369FC">
              <w:rPr>
                <w:rFonts w:cs="Arial"/>
                <w:color w:val="0B0C0C"/>
                <w:sz w:val="20"/>
                <w:szCs w:val="20"/>
              </w:rPr>
              <w:t>North of Tyne Combined Authority</w:t>
            </w:r>
            <w:r w:rsidR="00C369FC">
              <w:rPr>
                <w:rFonts w:cs="Arial"/>
                <w:color w:val="0B0C0C"/>
                <w:sz w:val="20"/>
                <w:szCs w:val="20"/>
              </w:rPr>
              <w:t xml:space="preserve"> LEAD</w:t>
            </w:r>
            <w:r w:rsidR="00E557C8" w:rsidRPr="00BD681A">
              <w:rPr>
                <w:rFonts w:cs="Arial"/>
                <w:color w:val="0B0C0C"/>
                <w:sz w:val="20"/>
                <w:szCs w:val="20"/>
              </w:rPr>
              <w:t xml:space="preserve">: </w:t>
            </w:r>
            <w:r w:rsidR="00C369FC">
              <w:rPr>
                <w:rFonts w:cs="Arial"/>
                <w:color w:val="0B0C0C"/>
                <w:sz w:val="20"/>
                <w:szCs w:val="20"/>
              </w:rPr>
              <w:t xml:space="preserve"> Upskilling advisors across </w:t>
            </w:r>
            <w:r w:rsidRPr="00C369FC">
              <w:rPr>
                <w:rFonts w:cs="Arial"/>
                <w:color w:val="0B0C0C"/>
                <w:sz w:val="20"/>
                <w:szCs w:val="20"/>
              </w:rPr>
              <w:t>7 local authorities</w:t>
            </w:r>
            <w:r w:rsidR="00C369FC">
              <w:rPr>
                <w:rFonts w:cs="Arial"/>
                <w:color w:val="0B0C0C"/>
                <w:sz w:val="20"/>
                <w:szCs w:val="20"/>
              </w:rPr>
              <w:t>.</w:t>
            </w:r>
            <w:r w:rsidRPr="00C369FC">
              <w:rPr>
                <w:rFonts w:cs="Arial"/>
                <w:color w:val="0B0C0C"/>
                <w:sz w:val="20"/>
                <w:szCs w:val="20"/>
              </w:rPr>
              <w:t xml:space="preserve"> Advisors</w:t>
            </w:r>
            <w:r w:rsidR="00C369FC">
              <w:rPr>
                <w:rFonts w:cs="Arial"/>
                <w:color w:val="0B0C0C"/>
                <w:sz w:val="20"/>
                <w:szCs w:val="20"/>
              </w:rPr>
              <w:t xml:space="preserve"> who will also </w:t>
            </w:r>
            <w:r w:rsidRPr="00C369FC">
              <w:rPr>
                <w:rFonts w:cs="Arial"/>
                <w:color w:val="0B0C0C"/>
                <w:sz w:val="20"/>
                <w:szCs w:val="20"/>
              </w:rPr>
              <w:t xml:space="preserve">engage with healthcare providers and community leaders and provide a training programme to upskill them. </w:t>
            </w:r>
          </w:p>
          <w:p w14:paraId="62E7299F" w14:textId="77777777" w:rsidR="00E15C25" w:rsidRPr="003D4606" w:rsidRDefault="00D15248" w:rsidP="00BF6BE8">
            <w:pPr>
              <w:pStyle w:val="NoSpacing"/>
              <w:numPr>
                <w:ilvl w:val="0"/>
                <w:numId w:val="5"/>
              </w:numPr>
              <w:rPr>
                <w:rFonts w:cs="Arial"/>
                <w:b w:val="0"/>
                <w:bCs w:val="0"/>
                <w:sz w:val="20"/>
                <w:szCs w:val="20"/>
              </w:rPr>
            </w:pPr>
            <w:r w:rsidRPr="00E557C8">
              <w:rPr>
                <w:rFonts w:cs="Arial"/>
                <w:b w:val="0"/>
                <w:bCs w:val="0"/>
                <w:color w:val="0B0C0C"/>
                <w:sz w:val="20"/>
                <w:szCs w:val="20"/>
              </w:rPr>
              <w:t>Efficiency North</w:t>
            </w:r>
            <w:r w:rsidR="00E557C8" w:rsidRPr="00E557C8">
              <w:rPr>
                <w:rFonts w:cs="Arial"/>
                <w:b w:val="0"/>
                <w:bCs w:val="0"/>
                <w:color w:val="0B0C0C"/>
                <w:sz w:val="20"/>
                <w:szCs w:val="20"/>
              </w:rPr>
              <w:t xml:space="preserve"> (Sheffield): </w:t>
            </w:r>
            <w:r w:rsidR="00C369FC">
              <w:rPr>
                <w:rFonts w:cs="Arial"/>
                <w:b w:val="0"/>
                <w:bCs w:val="0"/>
                <w:color w:val="0B0C0C"/>
                <w:sz w:val="20"/>
                <w:szCs w:val="20"/>
              </w:rPr>
              <w:t>P</w:t>
            </w:r>
            <w:r w:rsidRPr="00E557C8">
              <w:rPr>
                <w:rFonts w:cs="Arial"/>
                <w:b w:val="0"/>
                <w:bCs w:val="0"/>
                <w:color w:val="0B0C0C"/>
                <w:sz w:val="20"/>
                <w:szCs w:val="20"/>
              </w:rPr>
              <w:t>rovid</w:t>
            </w:r>
            <w:r w:rsidR="00C369FC">
              <w:rPr>
                <w:rFonts w:cs="Arial"/>
                <w:b w:val="0"/>
                <w:bCs w:val="0"/>
                <w:color w:val="0B0C0C"/>
                <w:sz w:val="20"/>
                <w:szCs w:val="20"/>
              </w:rPr>
              <w:t>ing</w:t>
            </w:r>
            <w:r w:rsidRPr="00E557C8">
              <w:rPr>
                <w:rFonts w:cs="Arial"/>
                <w:b w:val="0"/>
                <w:bCs w:val="0"/>
                <w:color w:val="0B0C0C"/>
                <w:sz w:val="20"/>
                <w:szCs w:val="20"/>
              </w:rPr>
              <w:t xml:space="preserve"> energy efficiency advice to homeowners of non-traditional construction solid walled properties bought from the council’s right to buy scheme. </w:t>
            </w:r>
          </w:p>
          <w:p w14:paraId="08155127" w14:textId="70B29AC3" w:rsidR="003D4606" w:rsidRPr="00E557C8" w:rsidRDefault="003D4606" w:rsidP="003D4606">
            <w:pPr>
              <w:pStyle w:val="NoSpacing"/>
              <w:ind w:left="720"/>
              <w:rPr>
                <w:rFonts w:cs="Arial"/>
                <w:b w:val="0"/>
                <w:bCs w:val="0"/>
                <w:sz w:val="20"/>
                <w:szCs w:val="20"/>
              </w:rPr>
            </w:pPr>
          </w:p>
        </w:tc>
        <w:tc>
          <w:tcPr>
            <w:tcW w:w="2256" w:type="dxa"/>
          </w:tcPr>
          <w:p w14:paraId="34D6E9A9" w14:textId="7F07F938" w:rsidR="00E15C25" w:rsidRPr="00C369FC" w:rsidRDefault="00611308" w:rsidP="00506BC1">
            <w:pPr>
              <w:pStyle w:val="NoSpacing"/>
              <w:cnfStyle w:val="000000000000" w:firstRow="0" w:lastRow="0" w:firstColumn="0" w:lastColumn="0" w:oddVBand="0" w:evenVBand="0" w:oddHBand="0" w:evenHBand="0" w:firstRowFirstColumn="0" w:firstRowLastColumn="0" w:lastRowFirstColumn="0" w:lastRowLastColumn="0"/>
              <w:rPr>
                <w:sz w:val="20"/>
                <w:szCs w:val="22"/>
              </w:rPr>
            </w:pPr>
            <w:hyperlink r:id="rId12" w:anchor="groundwork-yorkshire" w:history="1">
              <w:r w:rsidR="00C369FC" w:rsidRPr="00C369FC">
                <w:rPr>
                  <w:rStyle w:val="Hyperlink"/>
                  <w:sz w:val="20"/>
                  <w:szCs w:val="22"/>
                </w:rPr>
                <w:t>DESNZ</w:t>
              </w:r>
            </w:hyperlink>
            <w:r w:rsidR="00C369FC">
              <w:rPr>
                <w:sz w:val="20"/>
                <w:szCs w:val="22"/>
              </w:rPr>
              <w:t>-</w:t>
            </w:r>
          </w:p>
        </w:tc>
      </w:tr>
      <w:tr w:rsidR="00506BC1" w:rsidRPr="00A27D83" w14:paraId="7F47DA98" w14:textId="77777777" w:rsidTr="00506BC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3C70C576" w14:textId="7ECABAF8" w:rsidR="00506BC1" w:rsidRDefault="004D28AD" w:rsidP="00506BC1">
            <w:pPr>
              <w:pStyle w:val="NoSpacing"/>
              <w:rPr>
                <w:rFonts w:cs="Arial"/>
                <w:sz w:val="20"/>
                <w:szCs w:val="20"/>
              </w:rPr>
            </w:pPr>
            <w:r>
              <w:rPr>
                <w:rFonts w:cs="Arial"/>
                <w:b w:val="0"/>
                <w:bCs w:val="0"/>
                <w:sz w:val="20"/>
                <w:szCs w:val="20"/>
              </w:rPr>
              <w:t>T</w:t>
            </w:r>
            <w:r w:rsidRPr="004D28AD">
              <w:rPr>
                <w:rFonts w:cs="Arial"/>
                <w:b w:val="0"/>
                <w:bCs w:val="0"/>
                <w:sz w:val="20"/>
                <w:szCs w:val="20"/>
              </w:rPr>
              <w:t xml:space="preserve">he Government </w:t>
            </w:r>
            <w:r w:rsidR="002B294E">
              <w:rPr>
                <w:rFonts w:cs="Arial"/>
                <w:b w:val="0"/>
                <w:bCs w:val="0"/>
                <w:sz w:val="20"/>
                <w:szCs w:val="20"/>
              </w:rPr>
              <w:t xml:space="preserve">has </w:t>
            </w:r>
            <w:r w:rsidRPr="004D28AD">
              <w:rPr>
                <w:rFonts w:cs="Arial"/>
                <w:b w:val="0"/>
                <w:bCs w:val="0"/>
                <w:sz w:val="20"/>
                <w:szCs w:val="20"/>
              </w:rPr>
              <w:t xml:space="preserve">identified two new carbon capture, utilisation and storage (CCUS) facilities </w:t>
            </w:r>
            <w:r w:rsidR="00C87B83" w:rsidRPr="004D28AD">
              <w:rPr>
                <w:rFonts w:cs="Arial"/>
                <w:b w:val="0"/>
                <w:bCs w:val="0"/>
                <w:sz w:val="20"/>
                <w:szCs w:val="20"/>
              </w:rPr>
              <w:t>for</w:t>
            </w:r>
            <w:r w:rsidRPr="004D28AD">
              <w:rPr>
                <w:rFonts w:cs="Arial"/>
                <w:b w:val="0"/>
                <w:bCs w:val="0"/>
                <w:sz w:val="20"/>
                <w:szCs w:val="20"/>
              </w:rPr>
              <w:t xml:space="preserve"> support.</w:t>
            </w:r>
            <w:r w:rsidRPr="004D28AD" w:rsidDel="004D28AD">
              <w:rPr>
                <w:rFonts w:cs="Arial"/>
                <w:b w:val="0"/>
                <w:bCs w:val="0"/>
                <w:sz w:val="20"/>
                <w:szCs w:val="20"/>
              </w:rPr>
              <w:t xml:space="preserve"> </w:t>
            </w:r>
            <w:r w:rsidR="003D4606">
              <w:rPr>
                <w:rFonts w:cs="Arial"/>
                <w:b w:val="0"/>
                <w:bCs w:val="0"/>
                <w:sz w:val="20"/>
                <w:szCs w:val="20"/>
              </w:rPr>
              <w:t xml:space="preserve">One of these is </w:t>
            </w:r>
            <w:r w:rsidRPr="004D28AD">
              <w:rPr>
                <w:rFonts w:cs="Arial"/>
                <w:b w:val="0"/>
                <w:bCs w:val="0"/>
                <w:sz w:val="20"/>
                <w:szCs w:val="20"/>
              </w:rPr>
              <w:t>Project Viking (a partnership between RWE, Drax and SSE) based in the Humber</w:t>
            </w:r>
            <w:r w:rsidR="003D4606">
              <w:rPr>
                <w:rFonts w:cs="Arial"/>
                <w:b w:val="0"/>
                <w:bCs w:val="0"/>
                <w:sz w:val="20"/>
                <w:szCs w:val="20"/>
              </w:rPr>
              <w:t>.</w:t>
            </w:r>
          </w:p>
          <w:p w14:paraId="376152FC" w14:textId="2E70AF5C" w:rsidR="003D4606" w:rsidRPr="004D28AD" w:rsidRDefault="003D4606" w:rsidP="00506BC1">
            <w:pPr>
              <w:pStyle w:val="NoSpacing"/>
              <w:rPr>
                <w:rFonts w:cs="Arial"/>
                <w:b w:val="0"/>
                <w:bCs w:val="0"/>
                <w:sz w:val="20"/>
                <w:szCs w:val="20"/>
              </w:rPr>
            </w:pPr>
          </w:p>
        </w:tc>
        <w:tc>
          <w:tcPr>
            <w:tcW w:w="2256" w:type="dxa"/>
          </w:tcPr>
          <w:p w14:paraId="2BB9503C" w14:textId="23E41E8F" w:rsidR="00506BC1" w:rsidRPr="00A27D83" w:rsidRDefault="00611308" w:rsidP="00506BC1">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hyperlink r:id="rId13" w:history="1">
              <w:r w:rsidR="003D4606" w:rsidRPr="003D4606">
                <w:rPr>
                  <w:rStyle w:val="Hyperlink"/>
                  <w:rFonts w:cs="Arial"/>
                  <w:sz w:val="20"/>
                  <w:szCs w:val="20"/>
                </w:rPr>
                <w:t>Project Viking</w:t>
              </w:r>
            </w:hyperlink>
          </w:p>
        </w:tc>
      </w:tr>
      <w:tr w:rsidR="00220ED5" w:rsidRPr="00A27D83" w14:paraId="0B12C42E" w14:textId="77777777" w:rsidTr="00506BC1">
        <w:trPr>
          <w:trHeight w:val="309"/>
        </w:trPr>
        <w:tc>
          <w:tcPr>
            <w:cnfStyle w:val="001000000000" w:firstRow="0" w:lastRow="0" w:firstColumn="1" w:lastColumn="0" w:oddVBand="0" w:evenVBand="0" w:oddHBand="0" w:evenHBand="0" w:firstRowFirstColumn="0" w:firstRowLastColumn="0" w:lastRowFirstColumn="0" w:lastRowLastColumn="0"/>
            <w:tcW w:w="7366" w:type="dxa"/>
          </w:tcPr>
          <w:p w14:paraId="43967B58" w14:textId="0A616704" w:rsidR="00E90CE6" w:rsidRDefault="00E90CE6" w:rsidP="00E90CE6">
            <w:pPr>
              <w:pStyle w:val="NoSpacing"/>
              <w:rPr>
                <w:rFonts w:cs="Arial"/>
                <w:sz w:val="20"/>
                <w:szCs w:val="20"/>
              </w:rPr>
            </w:pPr>
            <w:r w:rsidRPr="00E90CE6">
              <w:rPr>
                <w:rFonts w:cs="Arial"/>
                <w:b w:val="0"/>
                <w:bCs w:val="0"/>
                <w:sz w:val="20"/>
                <w:szCs w:val="20"/>
              </w:rPr>
              <w:t>£8m of investment has been made into the Tees Valley Hydrogen Transport Hub, including support for hydrogen-powered airport ground support vehicles and refuelling sites aimed at supermarket lorries.</w:t>
            </w:r>
            <w:r w:rsidR="006B1591">
              <w:rPr>
                <w:rFonts w:cs="Arial"/>
                <w:b w:val="0"/>
                <w:bCs w:val="0"/>
                <w:sz w:val="20"/>
                <w:szCs w:val="20"/>
              </w:rPr>
              <w:t xml:space="preserve"> </w:t>
            </w:r>
          </w:p>
          <w:p w14:paraId="2B02F081" w14:textId="77777777" w:rsidR="006F57D4" w:rsidRDefault="00D77B94" w:rsidP="00E90CE6">
            <w:pPr>
              <w:pStyle w:val="NoSpacing"/>
              <w:rPr>
                <w:rFonts w:cs="Arial"/>
                <w:color w:val="0B0C0C"/>
                <w:sz w:val="20"/>
                <w:szCs w:val="20"/>
                <w:shd w:val="clear" w:color="auto" w:fill="FFFFFF"/>
              </w:rPr>
            </w:pPr>
            <w:r>
              <w:rPr>
                <w:rFonts w:cs="Arial"/>
                <w:b w:val="0"/>
                <w:bCs w:val="0"/>
                <w:color w:val="0B0C0C"/>
                <w:sz w:val="20"/>
                <w:szCs w:val="20"/>
                <w:shd w:val="clear" w:color="auto" w:fill="FFFFFF"/>
              </w:rPr>
              <w:t xml:space="preserve">The </w:t>
            </w:r>
            <w:r w:rsidRPr="00D77B94">
              <w:rPr>
                <w:rFonts w:cs="Arial"/>
                <w:b w:val="0"/>
                <w:bCs w:val="0"/>
                <w:color w:val="0B0C0C"/>
                <w:sz w:val="20"/>
                <w:szCs w:val="20"/>
                <w:shd w:val="clear" w:color="auto" w:fill="FFFFFF"/>
              </w:rPr>
              <w:t xml:space="preserve">announcement also confirms </w:t>
            </w:r>
            <w:r>
              <w:rPr>
                <w:rFonts w:cs="Arial"/>
                <w:b w:val="0"/>
                <w:bCs w:val="0"/>
                <w:color w:val="0B0C0C"/>
                <w:sz w:val="20"/>
                <w:szCs w:val="20"/>
                <w:shd w:val="clear" w:color="auto" w:fill="FFFFFF"/>
              </w:rPr>
              <w:t>funding for local</w:t>
            </w:r>
            <w:r w:rsidRPr="00D77B94">
              <w:rPr>
                <w:rFonts w:cs="Arial"/>
                <w:b w:val="0"/>
                <w:bCs w:val="0"/>
                <w:color w:val="0B0C0C"/>
                <w:sz w:val="20"/>
                <w:szCs w:val="20"/>
                <w:shd w:val="clear" w:color="auto" w:fill="FFFFFF"/>
              </w:rPr>
              <w:t xml:space="preserve"> colleges to support upskilling the local workforce</w:t>
            </w:r>
            <w:r w:rsidR="006F57D4">
              <w:rPr>
                <w:rFonts w:cs="Arial"/>
                <w:b w:val="0"/>
                <w:bCs w:val="0"/>
                <w:color w:val="0B0C0C"/>
                <w:sz w:val="20"/>
                <w:szCs w:val="20"/>
                <w:shd w:val="clear" w:color="auto" w:fill="FFFFFF"/>
              </w:rPr>
              <w:t>.</w:t>
            </w:r>
          </w:p>
          <w:p w14:paraId="307BAA9C" w14:textId="2C9D5642" w:rsidR="00D77B94" w:rsidRPr="00D77B94" w:rsidRDefault="00D77B94" w:rsidP="00E90CE6">
            <w:pPr>
              <w:pStyle w:val="NoSpacing"/>
              <w:rPr>
                <w:rFonts w:cs="Arial"/>
                <w:b w:val="0"/>
                <w:bCs w:val="0"/>
                <w:sz w:val="20"/>
                <w:szCs w:val="20"/>
              </w:rPr>
            </w:pPr>
            <w:r w:rsidRPr="00D77B94">
              <w:rPr>
                <w:rFonts w:cs="Arial"/>
                <w:b w:val="0"/>
                <w:bCs w:val="0"/>
                <w:color w:val="0B0C0C"/>
                <w:sz w:val="20"/>
                <w:szCs w:val="20"/>
                <w:shd w:val="clear" w:color="auto" w:fill="FFFFFF"/>
              </w:rPr>
              <w:lastRenderedPageBreak/>
              <w:t xml:space="preserve"> </w:t>
            </w:r>
          </w:p>
        </w:tc>
        <w:tc>
          <w:tcPr>
            <w:tcW w:w="2256" w:type="dxa"/>
          </w:tcPr>
          <w:p w14:paraId="134CF9AB" w14:textId="19434181" w:rsidR="00220ED5" w:rsidRDefault="00611308" w:rsidP="00506BC1">
            <w:pPr>
              <w:pStyle w:val="NoSpacing"/>
              <w:cnfStyle w:val="000000000000" w:firstRow="0" w:lastRow="0" w:firstColumn="0" w:lastColumn="0" w:oddVBand="0" w:evenVBand="0" w:oddHBand="0" w:evenHBand="0" w:firstRowFirstColumn="0" w:firstRowLastColumn="0" w:lastRowFirstColumn="0" w:lastRowLastColumn="0"/>
              <w:rPr>
                <w:rFonts w:cs="Arial"/>
                <w:sz w:val="20"/>
                <w:szCs w:val="20"/>
              </w:rPr>
            </w:pPr>
            <w:hyperlink r:id="rId14" w:history="1">
              <w:r w:rsidR="00A277E1" w:rsidRPr="00A277E1">
                <w:rPr>
                  <w:rStyle w:val="Hyperlink"/>
                  <w:rFonts w:cs="Arial"/>
                  <w:sz w:val="20"/>
                  <w:szCs w:val="20"/>
                </w:rPr>
                <w:t>DfT</w:t>
              </w:r>
            </w:hyperlink>
          </w:p>
        </w:tc>
      </w:tr>
      <w:tr w:rsidR="009453D5" w:rsidRPr="00A27D83" w14:paraId="10496567" w14:textId="77777777" w:rsidTr="00506BC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02E05573" w14:textId="6ADD0B4B" w:rsidR="009453D5" w:rsidRPr="009453D5" w:rsidRDefault="009453D5" w:rsidP="009453D5">
            <w:pPr>
              <w:pStyle w:val="NoSpacing"/>
              <w:rPr>
                <w:rFonts w:eastAsiaTheme="minorHAnsi"/>
                <w:b w:val="0"/>
                <w:bCs w:val="0"/>
                <w:spacing w:val="0"/>
                <w:sz w:val="20"/>
                <w:szCs w:val="22"/>
              </w:rPr>
            </w:pPr>
            <w:r w:rsidRPr="009453D5">
              <w:rPr>
                <w:b w:val="0"/>
                <w:bCs w:val="0"/>
                <w:sz w:val="20"/>
                <w:szCs w:val="22"/>
              </w:rPr>
              <w:t>The UK’s Electricity Networks Commissioner has published recommendations on how to accelerate the deployment of electricity transmission infrastructure. These include:</w:t>
            </w:r>
          </w:p>
          <w:p w14:paraId="1D8AE644" w14:textId="70798273" w:rsidR="009453D5" w:rsidRPr="009453D5" w:rsidRDefault="009453D5" w:rsidP="00BF6BE8">
            <w:pPr>
              <w:pStyle w:val="NoSpacing"/>
              <w:numPr>
                <w:ilvl w:val="0"/>
                <w:numId w:val="6"/>
              </w:numPr>
              <w:rPr>
                <w:b w:val="0"/>
                <w:bCs w:val="0"/>
                <w:sz w:val="20"/>
                <w:szCs w:val="22"/>
              </w:rPr>
            </w:pPr>
            <w:r w:rsidRPr="009453D5">
              <w:rPr>
                <w:b w:val="0"/>
                <w:bCs w:val="0"/>
                <w:sz w:val="20"/>
                <w:szCs w:val="22"/>
              </w:rPr>
              <w:t>Improved strategic planning</w:t>
            </w:r>
            <w:r w:rsidR="00E46E22">
              <w:rPr>
                <w:b w:val="0"/>
                <w:bCs w:val="0"/>
                <w:sz w:val="20"/>
                <w:szCs w:val="22"/>
              </w:rPr>
              <w:t>.</w:t>
            </w:r>
          </w:p>
          <w:p w14:paraId="3F8A91B3" w14:textId="5A80C532" w:rsidR="009453D5" w:rsidRPr="009453D5" w:rsidRDefault="009453D5" w:rsidP="00BF6BE8">
            <w:pPr>
              <w:pStyle w:val="NoSpacing"/>
              <w:numPr>
                <w:ilvl w:val="0"/>
                <w:numId w:val="6"/>
              </w:numPr>
              <w:rPr>
                <w:b w:val="0"/>
                <w:bCs w:val="0"/>
                <w:sz w:val="20"/>
                <w:szCs w:val="22"/>
              </w:rPr>
            </w:pPr>
            <w:r w:rsidRPr="009453D5">
              <w:rPr>
                <w:b w:val="0"/>
                <w:bCs w:val="0"/>
                <w:sz w:val="20"/>
                <w:szCs w:val="22"/>
              </w:rPr>
              <w:t>Streamlined planning consent</w:t>
            </w:r>
            <w:r w:rsidR="00E46E22">
              <w:rPr>
                <w:b w:val="0"/>
                <w:bCs w:val="0"/>
                <w:sz w:val="20"/>
                <w:szCs w:val="22"/>
              </w:rPr>
              <w:t>.</w:t>
            </w:r>
          </w:p>
          <w:p w14:paraId="6E29424B" w14:textId="77777777" w:rsidR="009453D5" w:rsidRPr="00491E31" w:rsidRDefault="009453D5" w:rsidP="00BF6BE8">
            <w:pPr>
              <w:pStyle w:val="NoSpacing"/>
              <w:numPr>
                <w:ilvl w:val="0"/>
                <w:numId w:val="6"/>
              </w:numPr>
            </w:pPr>
            <w:r w:rsidRPr="009453D5">
              <w:rPr>
                <w:b w:val="0"/>
                <w:bCs w:val="0"/>
                <w:sz w:val="20"/>
                <w:szCs w:val="22"/>
              </w:rPr>
              <w:t>Connections reform</w:t>
            </w:r>
            <w:r w:rsidR="00491E31">
              <w:rPr>
                <w:b w:val="0"/>
                <w:bCs w:val="0"/>
                <w:sz w:val="20"/>
                <w:szCs w:val="22"/>
              </w:rPr>
              <w:t>.</w:t>
            </w:r>
          </w:p>
          <w:p w14:paraId="4B712D69" w14:textId="7A1A65F1" w:rsidR="00491E31" w:rsidRPr="00E90CE6" w:rsidRDefault="00491E31" w:rsidP="00491E31">
            <w:pPr>
              <w:pStyle w:val="NoSpacing"/>
              <w:ind w:left="720"/>
            </w:pPr>
          </w:p>
        </w:tc>
        <w:tc>
          <w:tcPr>
            <w:tcW w:w="2256" w:type="dxa"/>
          </w:tcPr>
          <w:p w14:paraId="4FE7F25B" w14:textId="22AF6AD7" w:rsidR="009453D5" w:rsidRDefault="00611308" w:rsidP="00506BC1">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hyperlink r:id="rId15" w:history="1">
              <w:r w:rsidR="0089499C" w:rsidRPr="0089499C">
                <w:rPr>
                  <w:rStyle w:val="Hyperlink"/>
                  <w:rFonts w:cs="Arial"/>
                  <w:sz w:val="20"/>
                  <w:szCs w:val="20"/>
                </w:rPr>
                <w:t>DESNZ</w:t>
              </w:r>
            </w:hyperlink>
          </w:p>
        </w:tc>
      </w:tr>
      <w:tr w:rsidR="00506BC1" w:rsidRPr="00A27D83" w14:paraId="31D582AE" w14:textId="77777777" w:rsidTr="726E8429">
        <w:trPr>
          <w:trHeight w:val="309"/>
        </w:trPr>
        <w:tc>
          <w:tcPr>
            <w:cnfStyle w:val="001000000000" w:firstRow="0" w:lastRow="0" w:firstColumn="1" w:lastColumn="0" w:oddVBand="0" w:evenVBand="0" w:oddHBand="0" w:evenHBand="0" w:firstRowFirstColumn="0" w:firstRowLastColumn="0" w:lastRowFirstColumn="0" w:lastRowLastColumn="0"/>
            <w:tcW w:w="7366" w:type="dxa"/>
          </w:tcPr>
          <w:p w14:paraId="71878D96" w14:textId="084C904D" w:rsidR="00506BC1" w:rsidRPr="00912FEF" w:rsidRDefault="00912FEF" w:rsidP="00506BC1">
            <w:pPr>
              <w:tabs>
                <w:tab w:val="clear" w:pos="284"/>
              </w:tabs>
              <w:spacing w:after="75" w:line="240" w:lineRule="auto"/>
              <w:rPr>
                <w:b w:val="0"/>
                <w:bCs w:val="0"/>
                <w:sz w:val="20"/>
                <w:szCs w:val="20"/>
              </w:rPr>
            </w:pPr>
            <w:r w:rsidRPr="00912FEF">
              <w:rPr>
                <w:b w:val="0"/>
                <w:bCs w:val="0"/>
                <w:sz w:val="20"/>
                <w:szCs w:val="20"/>
              </w:rPr>
              <w:t xml:space="preserve">The government has published its </w:t>
            </w:r>
            <w:r w:rsidR="00506BC1" w:rsidRPr="00912FEF">
              <w:rPr>
                <w:b w:val="0"/>
                <w:bCs w:val="0"/>
                <w:sz w:val="20"/>
                <w:szCs w:val="20"/>
              </w:rPr>
              <w:t xml:space="preserve">vision for the future energy retail market and a package of targeted </w:t>
            </w:r>
            <w:r w:rsidRPr="00912FEF">
              <w:rPr>
                <w:b w:val="0"/>
                <w:bCs w:val="0"/>
                <w:sz w:val="20"/>
                <w:szCs w:val="20"/>
              </w:rPr>
              <w:t>reforms.</w:t>
            </w:r>
            <w:r w:rsidR="00506BC1" w:rsidRPr="00912FEF">
              <w:rPr>
                <w:b w:val="0"/>
                <w:bCs w:val="0"/>
                <w:sz w:val="20"/>
                <w:szCs w:val="20"/>
              </w:rPr>
              <w:t xml:space="preserve"> It has outlined the need for:</w:t>
            </w:r>
          </w:p>
          <w:p w14:paraId="784F98B8" w14:textId="77777777" w:rsidR="00506BC1" w:rsidRPr="00912FEF" w:rsidRDefault="00506BC1" w:rsidP="00BF6BE8">
            <w:pPr>
              <w:pStyle w:val="ListParagraph"/>
              <w:numPr>
                <w:ilvl w:val="0"/>
                <w:numId w:val="2"/>
              </w:numPr>
              <w:tabs>
                <w:tab w:val="clear" w:pos="284"/>
              </w:tabs>
              <w:spacing w:after="75" w:line="240" w:lineRule="auto"/>
              <w:rPr>
                <w:b w:val="0"/>
                <w:bCs w:val="0"/>
                <w:sz w:val="20"/>
                <w:szCs w:val="20"/>
              </w:rPr>
            </w:pPr>
            <w:r w:rsidRPr="00912FEF">
              <w:rPr>
                <w:b w:val="0"/>
                <w:bCs w:val="0"/>
                <w:sz w:val="20"/>
                <w:szCs w:val="20"/>
              </w:rPr>
              <w:t>A stable market with fair and sustainable pricing that is cost reflective, and with fewer costly supplier exits.</w:t>
            </w:r>
          </w:p>
          <w:p w14:paraId="20A2B3F8" w14:textId="3122EF9B" w:rsidR="00506BC1" w:rsidRPr="00912FEF" w:rsidRDefault="00506BC1" w:rsidP="00BF6BE8">
            <w:pPr>
              <w:pStyle w:val="ListParagraph"/>
              <w:numPr>
                <w:ilvl w:val="0"/>
                <w:numId w:val="2"/>
              </w:numPr>
              <w:tabs>
                <w:tab w:val="clear" w:pos="284"/>
              </w:tabs>
              <w:spacing w:after="75" w:line="240" w:lineRule="auto"/>
              <w:rPr>
                <w:b w:val="0"/>
                <w:bCs w:val="0"/>
                <w:sz w:val="20"/>
                <w:szCs w:val="20"/>
              </w:rPr>
            </w:pPr>
            <w:r w:rsidRPr="00912FEF">
              <w:rPr>
                <w:b w:val="0"/>
                <w:bCs w:val="0"/>
                <w:sz w:val="20"/>
                <w:szCs w:val="20"/>
              </w:rPr>
              <w:t xml:space="preserve">Adequate consumer protections for those that need them. </w:t>
            </w:r>
          </w:p>
          <w:p w14:paraId="74EBFA93" w14:textId="5361C2F2" w:rsidR="00506BC1" w:rsidRPr="00912FEF" w:rsidRDefault="00506BC1" w:rsidP="00BF6BE8">
            <w:pPr>
              <w:pStyle w:val="ListParagraph"/>
              <w:numPr>
                <w:ilvl w:val="0"/>
                <w:numId w:val="2"/>
              </w:numPr>
              <w:tabs>
                <w:tab w:val="clear" w:pos="284"/>
              </w:tabs>
              <w:spacing w:after="75" w:line="240" w:lineRule="auto"/>
              <w:rPr>
                <w:b w:val="0"/>
                <w:bCs w:val="0"/>
                <w:sz w:val="20"/>
                <w:szCs w:val="20"/>
              </w:rPr>
            </w:pPr>
            <w:r w:rsidRPr="00912FEF">
              <w:rPr>
                <w:b w:val="0"/>
                <w:bCs w:val="0"/>
                <w:sz w:val="20"/>
                <w:szCs w:val="20"/>
              </w:rPr>
              <w:t>Flexible regulation that adjusts to a changing and innovative market and allows for effective competition to provide the best options for consumers.</w:t>
            </w:r>
          </w:p>
        </w:tc>
        <w:tc>
          <w:tcPr>
            <w:tcW w:w="2256" w:type="dxa"/>
          </w:tcPr>
          <w:p w14:paraId="1BF8C620" w14:textId="6BC3137C" w:rsidR="00506BC1" w:rsidRPr="00A27D83" w:rsidRDefault="00611308" w:rsidP="00506BC1">
            <w:pPr>
              <w:spacing w:line="360" w:lineRule="auto"/>
              <w:cnfStyle w:val="000000000000" w:firstRow="0" w:lastRow="0" w:firstColumn="0" w:lastColumn="0" w:oddVBand="0" w:evenVBand="0" w:oddHBand="0" w:evenHBand="0" w:firstRowFirstColumn="0" w:firstRowLastColumn="0" w:lastRowFirstColumn="0" w:lastRowLastColumn="0"/>
              <w:rPr>
                <w:rFonts w:cs="Arial"/>
                <w:sz w:val="20"/>
                <w:szCs w:val="20"/>
              </w:rPr>
            </w:pPr>
            <w:hyperlink r:id="rId16" w:history="1">
              <w:r w:rsidR="00506BC1">
                <w:rPr>
                  <w:rStyle w:val="Hyperlink"/>
                  <w:rFonts w:cs="Arial"/>
                  <w:sz w:val="20"/>
                  <w:szCs w:val="20"/>
                </w:rPr>
                <w:t>DESNZ</w:t>
              </w:r>
            </w:hyperlink>
          </w:p>
        </w:tc>
      </w:tr>
      <w:tr w:rsidR="00506BC1" w:rsidRPr="00153A8D" w14:paraId="12C39926" w14:textId="77777777" w:rsidTr="00506BC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Borders>
              <w:bottom w:val="single" w:sz="4" w:space="0" w:color="auto"/>
            </w:tcBorders>
          </w:tcPr>
          <w:p w14:paraId="70A03F7E" w14:textId="56A146CE" w:rsidR="00506BC1" w:rsidRDefault="004F13DF" w:rsidP="00506BC1">
            <w:pPr>
              <w:pStyle w:val="NoSpacing"/>
              <w:rPr>
                <w:sz w:val="20"/>
                <w:szCs w:val="20"/>
              </w:rPr>
            </w:pPr>
            <w:r>
              <w:rPr>
                <w:b w:val="0"/>
                <w:bCs w:val="0"/>
                <w:sz w:val="20"/>
                <w:szCs w:val="20"/>
              </w:rPr>
              <w:t xml:space="preserve">The </w:t>
            </w:r>
            <w:r w:rsidR="00E46E22">
              <w:rPr>
                <w:b w:val="0"/>
                <w:bCs w:val="0"/>
                <w:sz w:val="20"/>
                <w:szCs w:val="20"/>
              </w:rPr>
              <w:t>All-Party</w:t>
            </w:r>
            <w:r>
              <w:rPr>
                <w:b w:val="0"/>
                <w:bCs w:val="0"/>
                <w:sz w:val="20"/>
                <w:szCs w:val="20"/>
              </w:rPr>
              <w:t xml:space="preserve"> Political Group of Net Zero has published a report </w:t>
            </w:r>
            <w:r w:rsidR="00E46E22" w:rsidRPr="00C02B53">
              <w:rPr>
                <w:b w:val="0"/>
                <w:bCs w:val="0"/>
                <w:sz w:val="20"/>
                <w:szCs w:val="20"/>
              </w:rPr>
              <w:t>addressin</w:t>
            </w:r>
            <w:r w:rsidR="00E46E22">
              <w:rPr>
                <w:b w:val="0"/>
                <w:bCs w:val="0"/>
                <w:sz w:val="20"/>
                <w:szCs w:val="20"/>
              </w:rPr>
              <w:t>g</w:t>
            </w:r>
            <w:r w:rsidR="00506BC1" w:rsidRPr="00C02B53">
              <w:rPr>
                <w:b w:val="0"/>
                <w:bCs w:val="0"/>
                <w:sz w:val="20"/>
                <w:szCs w:val="20"/>
              </w:rPr>
              <w:t xml:space="preserve"> 23 commonly heard myths around Net Zero in an effort to fight disinformation around the topic</w:t>
            </w:r>
            <w:r w:rsidR="00506BC1">
              <w:rPr>
                <w:b w:val="0"/>
                <w:bCs w:val="0"/>
                <w:sz w:val="20"/>
                <w:szCs w:val="20"/>
              </w:rPr>
              <w:t xml:space="preserve">. </w:t>
            </w:r>
          </w:p>
          <w:p w14:paraId="4EB0AD99" w14:textId="77777777" w:rsidR="00506BC1" w:rsidRPr="00C02B53" w:rsidRDefault="00506BC1" w:rsidP="00506BC1">
            <w:pPr>
              <w:pStyle w:val="NoSpacing"/>
              <w:rPr>
                <w:b w:val="0"/>
                <w:bCs w:val="0"/>
                <w:sz w:val="20"/>
                <w:szCs w:val="20"/>
              </w:rPr>
            </w:pPr>
          </w:p>
        </w:tc>
        <w:tc>
          <w:tcPr>
            <w:tcW w:w="2256" w:type="dxa"/>
            <w:tcBorders>
              <w:bottom w:val="single" w:sz="4" w:space="0" w:color="auto"/>
            </w:tcBorders>
          </w:tcPr>
          <w:p w14:paraId="6B00A4EA" w14:textId="77777777" w:rsidR="00506BC1" w:rsidRPr="00153A8D" w:rsidRDefault="00611308" w:rsidP="00506BC1">
            <w:pPr>
              <w:pStyle w:val="NoSpacing"/>
              <w:cnfStyle w:val="000000100000" w:firstRow="0" w:lastRow="0" w:firstColumn="0" w:lastColumn="0" w:oddVBand="0" w:evenVBand="0" w:oddHBand="1" w:evenHBand="0" w:firstRowFirstColumn="0" w:firstRowLastColumn="0" w:lastRowFirstColumn="0" w:lastRowLastColumn="0"/>
              <w:rPr>
                <w:sz w:val="20"/>
                <w:szCs w:val="20"/>
              </w:rPr>
            </w:pPr>
            <w:hyperlink r:id="rId17" w:history="1">
              <w:r w:rsidR="00506BC1">
                <w:rPr>
                  <w:rStyle w:val="Hyperlink"/>
                  <w:sz w:val="20"/>
                  <w:szCs w:val="20"/>
                </w:rPr>
                <w:t>APPG</w:t>
              </w:r>
            </w:hyperlink>
          </w:p>
        </w:tc>
      </w:tr>
      <w:tr w:rsidR="00506BC1" w:rsidRPr="00A27D83" w14:paraId="51693FDE" w14:textId="77777777" w:rsidTr="726E8429">
        <w:trPr>
          <w:trHeight w:val="309"/>
        </w:trPr>
        <w:tc>
          <w:tcPr>
            <w:cnfStyle w:val="001000000000" w:firstRow="0" w:lastRow="0" w:firstColumn="1" w:lastColumn="0" w:oddVBand="0" w:evenVBand="0" w:oddHBand="0" w:evenHBand="0" w:firstRowFirstColumn="0" w:firstRowLastColumn="0" w:lastRowFirstColumn="0" w:lastRowLastColumn="0"/>
            <w:tcW w:w="7366" w:type="dxa"/>
          </w:tcPr>
          <w:p w14:paraId="7430EDAC" w14:textId="7A74D5B2" w:rsidR="00506BC1" w:rsidRPr="00D8733C" w:rsidRDefault="0042731C" w:rsidP="00D8733C">
            <w:pPr>
              <w:pStyle w:val="NoSpacing"/>
              <w:rPr>
                <w:b w:val="0"/>
                <w:bCs w:val="0"/>
                <w:sz w:val="20"/>
                <w:szCs w:val="22"/>
                <w:shd w:val="clear" w:color="auto" w:fill="FFFFFF"/>
              </w:rPr>
            </w:pPr>
            <w:r w:rsidRPr="00D8733C">
              <w:rPr>
                <w:b w:val="0"/>
                <w:bCs w:val="0"/>
                <w:sz w:val="20"/>
                <w:szCs w:val="22"/>
                <w:shd w:val="clear" w:color="auto" w:fill="FFFFFF"/>
              </w:rPr>
              <w:t xml:space="preserve">The government has announced proposals for changes to the planning system designed to speed up delivery of vital projects including </w:t>
            </w:r>
            <w:r w:rsidR="00D8733C" w:rsidRPr="00D8733C">
              <w:rPr>
                <w:b w:val="0"/>
                <w:bCs w:val="0"/>
                <w:sz w:val="20"/>
                <w:szCs w:val="22"/>
                <w:shd w:val="clear" w:color="auto" w:fill="FFFFFF"/>
              </w:rPr>
              <w:t xml:space="preserve">nationally significant energy </w:t>
            </w:r>
            <w:r w:rsidRPr="00D8733C">
              <w:rPr>
                <w:b w:val="0"/>
                <w:bCs w:val="0"/>
                <w:sz w:val="20"/>
                <w:szCs w:val="22"/>
                <w:shd w:val="clear" w:color="auto" w:fill="FFFFFF"/>
              </w:rPr>
              <w:t>infrastructure.</w:t>
            </w:r>
            <w:r w:rsidR="00D8733C" w:rsidRPr="00D8733C">
              <w:rPr>
                <w:b w:val="0"/>
                <w:bCs w:val="0"/>
                <w:sz w:val="20"/>
                <w:szCs w:val="22"/>
                <w:shd w:val="clear" w:color="auto" w:fill="FFFFFF"/>
              </w:rPr>
              <w:t xml:space="preserve"> These include:</w:t>
            </w:r>
          </w:p>
          <w:p w14:paraId="69F12234" w14:textId="104A5EB4" w:rsidR="00D8733C" w:rsidRPr="00D8733C" w:rsidRDefault="00D8733C" w:rsidP="00BF6BE8">
            <w:pPr>
              <w:pStyle w:val="NoSpacing"/>
              <w:numPr>
                <w:ilvl w:val="0"/>
                <w:numId w:val="7"/>
              </w:numPr>
              <w:rPr>
                <w:b w:val="0"/>
                <w:sz w:val="20"/>
                <w:szCs w:val="22"/>
              </w:rPr>
            </w:pPr>
            <w:r w:rsidRPr="00D8733C">
              <w:rPr>
                <w:b w:val="0"/>
                <w:sz w:val="20"/>
                <w:szCs w:val="22"/>
              </w:rPr>
              <w:t>establish</w:t>
            </w:r>
            <w:r>
              <w:rPr>
                <w:b w:val="0"/>
                <w:sz w:val="20"/>
                <w:szCs w:val="22"/>
              </w:rPr>
              <w:t>ing</w:t>
            </w:r>
            <w:r w:rsidRPr="00D8733C">
              <w:rPr>
                <w:b w:val="0"/>
                <w:sz w:val="20"/>
                <w:szCs w:val="22"/>
              </w:rPr>
              <w:t xml:space="preserve"> a new fast-track route to consent.</w:t>
            </w:r>
          </w:p>
          <w:p w14:paraId="3884EF10" w14:textId="7A9C8E5A" w:rsidR="00D8733C" w:rsidRPr="00D8733C" w:rsidRDefault="00D8733C" w:rsidP="00BF6BE8">
            <w:pPr>
              <w:pStyle w:val="NoSpacing"/>
              <w:numPr>
                <w:ilvl w:val="0"/>
                <w:numId w:val="7"/>
              </w:numPr>
              <w:rPr>
                <w:b w:val="0"/>
                <w:sz w:val="20"/>
                <w:szCs w:val="22"/>
              </w:rPr>
            </w:pPr>
            <w:r w:rsidRPr="00D8733C">
              <w:rPr>
                <w:b w:val="0"/>
                <w:sz w:val="20"/>
                <w:szCs w:val="22"/>
              </w:rPr>
              <w:t>incentivising developers to engage more proactively and effectively with local authorities and communities to ensure major infrastructure projects deliver for the communities that host them.</w:t>
            </w:r>
          </w:p>
          <w:p w14:paraId="78B27A81" w14:textId="09CFB985" w:rsidR="00D8733C" w:rsidRPr="002D6906" w:rsidRDefault="00D8733C" w:rsidP="00506BC1">
            <w:pPr>
              <w:pStyle w:val="NoSpacing"/>
              <w:rPr>
                <w:rFonts w:cs="Arial"/>
                <w:b w:val="0"/>
                <w:bCs w:val="0"/>
                <w:sz w:val="20"/>
                <w:szCs w:val="20"/>
              </w:rPr>
            </w:pPr>
          </w:p>
        </w:tc>
        <w:tc>
          <w:tcPr>
            <w:tcW w:w="2256" w:type="dxa"/>
          </w:tcPr>
          <w:p w14:paraId="7212AC4F" w14:textId="23D61954" w:rsidR="00506BC1" w:rsidRDefault="00611308" w:rsidP="00506BC1">
            <w:pPr>
              <w:spacing w:line="360" w:lineRule="auto"/>
              <w:cnfStyle w:val="000000000000" w:firstRow="0" w:lastRow="0" w:firstColumn="0" w:lastColumn="0" w:oddVBand="0" w:evenVBand="0" w:oddHBand="0" w:evenHBand="0" w:firstRowFirstColumn="0" w:firstRowLastColumn="0" w:lastRowFirstColumn="0" w:lastRowLastColumn="0"/>
            </w:pPr>
            <w:hyperlink r:id="rId18" w:history="1">
              <w:r w:rsidR="002D6906" w:rsidRPr="002D6906">
                <w:rPr>
                  <w:rStyle w:val="Hyperlink"/>
                </w:rPr>
                <w:t>DLUHC</w:t>
              </w:r>
            </w:hyperlink>
          </w:p>
        </w:tc>
      </w:tr>
    </w:tbl>
    <w:p w14:paraId="557E7EA6" w14:textId="4E7C0D0C" w:rsidR="005412FD" w:rsidRPr="00A27D83" w:rsidRDefault="005412FD" w:rsidP="006A28D2">
      <w:pPr>
        <w:pStyle w:val="NoSpacing"/>
        <w:rPr>
          <w:rFonts w:cs="Arial"/>
          <w:sz w:val="20"/>
          <w:szCs w:val="20"/>
        </w:rPr>
      </w:pPr>
    </w:p>
    <w:tbl>
      <w:tblPr>
        <w:tblStyle w:val="ListTable3-Accent2"/>
        <w:tblW w:w="0" w:type="auto"/>
        <w:tblLook w:val="04A0" w:firstRow="1" w:lastRow="0" w:firstColumn="1" w:lastColumn="0" w:noHBand="0" w:noVBand="1"/>
      </w:tblPr>
      <w:tblGrid>
        <w:gridCol w:w="7366"/>
        <w:gridCol w:w="2243"/>
        <w:gridCol w:w="13"/>
      </w:tblGrid>
      <w:tr w:rsidR="00AD5D9B" w:rsidRPr="00A27D83" w14:paraId="6743FB75" w14:textId="77777777" w:rsidTr="00C14503">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7366" w:type="dxa"/>
          </w:tcPr>
          <w:p w14:paraId="584B9B7B" w14:textId="5663C536" w:rsidR="00AD5D9B" w:rsidRPr="00A27D83" w:rsidRDefault="00AD5D9B" w:rsidP="00840C46">
            <w:pPr>
              <w:rPr>
                <w:rFonts w:cs="Arial"/>
                <w:caps/>
                <w:sz w:val="20"/>
                <w:szCs w:val="20"/>
              </w:rPr>
            </w:pPr>
            <w:r w:rsidRPr="00A27D83">
              <w:rPr>
                <w:rFonts w:cs="Arial"/>
                <w:caps/>
                <w:sz w:val="20"/>
                <w:szCs w:val="20"/>
              </w:rPr>
              <w:t>Consultations</w:t>
            </w:r>
            <w:r w:rsidR="00186C68" w:rsidRPr="00A27D83">
              <w:rPr>
                <w:rFonts w:cs="Arial"/>
                <w:caps/>
                <w:sz w:val="20"/>
                <w:szCs w:val="20"/>
              </w:rPr>
              <w:t xml:space="preserve"> AND REVIEWS</w:t>
            </w:r>
          </w:p>
        </w:tc>
        <w:tc>
          <w:tcPr>
            <w:tcW w:w="2256" w:type="dxa"/>
            <w:gridSpan w:val="2"/>
          </w:tcPr>
          <w:p w14:paraId="6798AD79" w14:textId="77777777" w:rsidR="00AD5D9B" w:rsidRPr="00A27D83" w:rsidRDefault="00AD5D9B" w:rsidP="00CA7E17">
            <w:pPr>
              <w:ind w:left="360"/>
              <w:cnfStyle w:val="100000000000" w:firstRow="1" w:lastRow="0" w:firstColumn="0" w:lastColumn="0" w:oddVBand="0" w:evenVBand="0" w:oddHBand="0" w:evenHBand="0" w:firstRowFirstColumn="0" w:firstRowLastColumn="0" w:lastRowFirstColumn="0" w:lastRowLastColumn="0"/>
              <w:rPr>
                <w:rFonts w:cs="Arial"/>
                <w:sz w:val="20"/>
                <w:szCs w:val="20"/>
              </w:rPr>
            </w:pPr>
            <w:r w:rsidRPr="00A27D83">
              <w:rPr>
                <w:rFonts w:cs="Arial"/>
                <w:caps/>
                <w:sz w:val="20"/>
                <w:szCs w:val="20"/>
              </w:rPr>
              <w:t>LINK</w:t>
            </w:r>
          </w:p>
        </w:tc>
      </w:tr>
      <w:tr w:rsidR="00E0444E" w:rsidRPr="00A27D83" w14:paraId="7BF42C24" w14:textId="77777777" w:rsidTr="00C1450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6F4A80FD" w14:textId="1FC5C7D2" w:rsidR="00E0444E" w:rsidRDefault="00E46E22" w:rsidP="00E46E22">
            <w:pPr>
              <w:pStyle w:val="NoSpacing"/>
              <w:rPr>
                <w:rFonts w:cs="Arial"/>
                <w:sz w:val="20"/>
                <w:szCs w:val="20"/>
              </w:rPr>
            </w:pPr>
            <w:r>
              <w:rPr>
                <w:rFonts w:cs="Arial"/>
                <w:b w:val="0"/>
                <w:bCs w:val="0"/>
                <w:sz w:val="20"/>
                <w:szCs w:val="20"/>
              </w:rPr>
              <w:t xml:space="preserve">The government is looking to hear from </w:t>
            </w:r>
            <w:r w:rsidRPr="00823601">
              <w:rPr>
                <w:rFonts w:cs="Arial"/>
                <w:b w:val="0"/>
                <w:bCs w:val="0"/>
                <w:sz w:val="20"/>
                <w:szCs w:val="20"/>
              </w:rPr>
              <w:t>industrial sites, trade associations, academics</w:t>
            </w:r>
            <w:r w:rsidR="006B1591">
              <w:rPr>
                <w:rFonts w:cs="Arial"/>
                <w:b w:val="0"/>
                <w:bCs w:val="0"/>
                <w:sz w:val="20"/>
                <w:szCs w:val="20"/>
              </w:rPr>
              <w:t xml:space="preserve"> and</w:t>
            </w:r>
            <w:r w:rsidRPr="00823601">
              <w:rPr>
                <w:rFonts w:cs="Arial"/>
                <w:b w:val="0"/>
                <w:bCs w:val="0"/>
                <w:sz w:val="20"/>
                <w:szCs w:val="20"/>
              </w:rPr>
              <w:t xml:space="preserve"> technology providers, </w:t>
            </w:r>
            <w:r>
              <w:rPr>
                <w:rFonts w:cs="Arial"/>
                <w:b w:val="0"/>
                <w:bCs w:val="0"/>
                <w:sz w:val="20"/>
                <w:szCs w:val="20"/>
              </w:rPr>
              <w:t xml:space="preserve">as it gathers </w:t>
            </w:r>
            <w:r w:rsidR="00E0444E" w:rsidRPr="001D6975">
              <w:rPr>
                <w:rFonts w:cs="Arial"/>
                <w:b w:val="0"/>
                <w:bCs w:val="0"/>
                <w:sz w:val="20"/>
                <w:szCs w:val="20"/>
              </w:rPr>
              <w:t>evidence to understand how to enable industry to switch away from fossil fuels</w:t>
            </w:r>
            <w:r>
              <w:rPr>
                <w:rFonts w:cs="Arial"/>
                <w:b w:val="0"/>
                <w:bCs w:val="0"/>
                <w:sz w:val="20"/>
                <w:szCs w:val="20"/>
              </w:rPr>
              <w:t xml:space="preserve">. </w:t>
            </w:r>
          </w:p>
          <w:p w14:paraId="351C4BB7" w14:textId="103B6771" w:rsidR="00E46E22" w:rsidRPr="00A27D83" w:rsidRDefault="00E46E22" w:rsidP="00E46E22">
            <w:pPr>
              <w:pStyle w:val="NoSpacing"/>
              <w:rPr>
                <w:rStyle w:val="Strong"/>
                <w:rFonts w:cs="Arial"/>
                <w:sz w:val="20"/>
                <w:szCs w:val="20"/>
              </w:rPr>
            </w:pPr>
          </w:p>
        </w:tc>
        <w:tc>
          <w:tcPr>
            <w:tcW w:w="2256" w:type="dxa"/>
            <w:gridSpan w:val="2"/>
          </w:tcPr>
          <w:p w14:paraId="199172F7" w14:textId="069B19DB" w:rsidR="00E0444E" w:rsidRPr="00A27D83" w:rsidRDefault="00611308" w:rsidP="00E0444E">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hyperlink r:id="rId19" w:history="1">
              <w:r w:rsidR="00E0444E">
                <w:rPr>
                  <w:rStyle w:val="Hyperlink"/>
                  <w:rFonts w:cs="Arial"/>
                  <w:sz w:val="20"/>
                  <w:szCs w:val="20"/>
                </w:rPr>
                <w:t>DESNEZ</w:t>
              </w:r>
            </w:hyperlink>
          </w:p>
        </w:tc>
      </w:tr>
      <w:tr w:rsidR="00905AC1" w:rsidRPr="00A27D83" w14:paraId="56BBBDA0" w14:textId="77777777" w:rsidTr="00C14503">
        <w:trPr>
          <w:trHeight w:val="309"/>
        </w:trPr>
        <w:tc>
          <w:tcPr>
            <w:cnfStyle w:val="001000000000" w:firstRow="0" w:lastRow="0" w:firstColumn="1" w:lastColumn="0" w:oddVBand="0" w:evenVBand="0" w:oddHBand="0" w:evenHBand="0" w:firstRowFirstColumn="0" w:firstRowLastColumn="0" w:lastRowFirstColumn="0" w:lastRowLastColumn="0"/>
            <w:tcW w:w="7366" w:type="dxa"/>
          </w:tcPr>
          <w:p w14:paraId="6E397AAB" w14:textId="77777777" w:rsidR="00905AC1" w:rsidRDefault="00905AC1" w:rsidP="00201413">
            <w:pPr>
              <w:pStyle w:val="NoSpacing"/>
              <w:rPr>
                <w:sz w:val="20"/>
                <w:szCs w:val="22"/>
              </w:rPr>
            </w:pPr>
            <w:r w:rsidRPr="00ED1B23">
              <w:rPr>
                <w:b w:val="0"/>
                <w:bCs w:val="0"/>
                <w:sz w:val="20"/>
                <w:szCs w:val="22"/>
              </w:rPr>
              <w:t>The Yorkshire and Humber Climate Commission is seeking views on leverag</w:t>
            </w:r>
            <w:r w:rsidR="00ED1B23">
              <w:rPr>
                <w:b w:val="0"/>
                <w:bCs w:val="0"/>
                <w:sz w:val="20"/>
                <w:szCs w:val="22"/>
              </w:rPr>
              <w:t>ing</w:t>
            </w:r>
            <w:r w:rsidRPr="00ED1B23">
              <w:rPr>
                <w:b w:val="0"/>
                <w:bCs w:val="0"/>
                <w:sz w:val="20"/>
                <w:szCs w:val="22"/>
              </w:rPr>
              <w:t xml:space="preserve"> fund</w:t>
            </w:r>
            <w:r w:rsidR="00ED1B23">
              <w:rPr>
                <w:b w:val="0"/>
                <w:bCs w:val="0"/>
                <w:sz w:val="20"/>
                <w:szCs w:val="22"/>
              </w:rPr>
              <w:t>ing</w:t>
            </w:r>
            <w:r w:rsidR="00201413">
              <w:rPr>
                <w:b w:val="0"/>
                <w:bCs w:val="0"/>
                <w:sz w:val="20"/>
                <w:szCs w:val="22"/>
              </w:rPr>
              <w:t xml:space="preserve"> for emission-reducing projects in the region.</w:t>
            </w:r>
            <w:r w:rsidRPr="00ED1B23">
              <w:rPr>
                <w:b w:val="0"/>
                <w:bCs w:val="0"/>
                <w:sz w:val="20"/>
                <w:szCs w:val="22"/>
              </w:rPr>
              <w:t xml:space="preserve"> </w:t>
            </w:r>
          </w:p>
          <w:p w14:paraId="14C3D5E8" w14:textId="490A3EC4" w:rsidR="00201413" w:rsidRDefault="00201413" w:rsidP="00201413">
            <w:pPr>
              <w:pStyle w:val="NoSpacing"/>
              <w:rPr>
                <w:rFonts w:cs="Arial"/>
                <w:sz w:val="20"/>
                <w:szCs w:val="20"/>
              </w:rPr>
            </w:pPr>
          </w:p>
        </w:tc>
        <w:tc>
          <w:tcPr>
            <w:tcW w:w="2256" w:type="dxa"/>
            <w:gridSpan w:val="2"/>
          </w:tcPr>
          <w:p w14:paraId="37F1EA71" w14:textId="3C1C5383" w:rsidR="00905AC1" w:rsidRDefault="00611308" w:rsidP="00E0444E">
            <w:pPr>
              <w:pStyle w:val="NoSpacing"/>
              <w:cnfStyle w:val="000000000000" w:firstRow="0" w:lastRow="0" w:firstColumn="0" w:lastColumn="0" w:oddVBand="0" w:evenVBand="0" w:oddHBand="0" w:evenHBand="0" w:firstRowFirstColumn="0" w:firstRowLastColumn="0" w:lastRowFirstColumn="0" w:lastRowLastColumn="0"/>
            </w:pPr>
            <w:hyperlink r:id="rId20" w:history="1">
              <w:r w:rsidR="00ED1B23" w:rsidRPr="00201413">
                <w:rPr>
                  <w:rStyle w:val="Hyperlink"/>
                </w:rPr>
                <w:t>YHCC</w:t>
              </w:r>
            </w:hyperlink>
          </w:p>
        </w:tc>
      </w:tr>
      <w:tr w:rsidR="00E0444E" w:rsidRPr="00A27D83" w14:paraId="3D6FDF75" w14:textId="77777777" w:rsidTr="00C1450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366" w:type="dxa"/>
          </w:tcPr>
          <w:p w14:paraId="6CC91E31" w14:textId="77777777" w:rsidR="00E0444E" w:rsidRPr="00A27D83" w:rsidRDefault="00E0444E" w:rsidP="00E0444E">
            <w:pPr>
              <w:pStyle w:val="NoSpacing"/>
              <w:ind w:left="720"/>
              <w:rPr>
                <w:rStyle w:val="Strong"/>
                <w:rFonts w:cs="Arial"/>
                <w:sz w:val="20"/>
                <w:szCs w:val="20"/>
              </w:rPr>
            </w:pPr>
          </w:p>
        </w:tc>
        <w:tc>
          <w:tcPr>
            <w:tcW w:w="2256" w:type="dxa"/>
            <w:gridSpan w:val="2"/>
          </w:tcPr>
          <w:p w14:paraId="7A983D2D" w14:textId="77777777" w:rsidR="00E0444E" w:rsidRPr="00A27D83" w:rsidRDefault="00E0444E" w:rsidP="00E0444E">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E0444E" w:rsidRPr="00A27D83" w14:paraId="4BCB1CE4" w14:textId="77777777" w:rsidTr="00DA4278">
        <w:trPr>
          <w:gridAfter w:val="1"/>
          <w:wAfter w:w="13" w:type="dxa"/>
          <w:trHeight w:val="429"/>
        </w:trPr>
        <w:tc>
          <w:tcPr>
            <w:cnfStyle w:val="001000000000" w:firstRow="0" w:lastRow="0" w:firstColumn="1" w:lastColumn="0" w:oddVBand="0" w:evenVBand="0" w:oddHBand="0" w:evenHBand="0" w:firstRowFirstColumn="0" w:firstRowLastColumn="0" w:lastRowFirstColumn="0" w:lastRowLastColumn="0"/>
            <w:tcW w:w="7366" w:type="dxa"/>
            <w:shd w:val="clear" w:color="auto" w:fill="00B1AE" w:themeFill="text1" w:themeFillTint="BF"/>
          </w:tcPr>
          <w:p w14:paraId="774345CF" w14:textId="741DC425" w:rsidR="00E0444E" w:rsidRPr="00DA4278" w:rsidRDefault="00E0444E" w:rsidP="00E0444E">
            <w:pPr>
              <w:rPr>
                <w:rFonts w:cs="Arial"/>
                <w:b w:val="0"/>
                <w:bCs w:val="0"/>
                <w:sz w:val="20"/>
                <w:szCs w:val="20"/>
              </w:rPr>
            </w:pPr>
            <w:r w:rsidRPr="00DA4278">
              <w:rPr>
                <w:rFonts w:cs="Arial"/>
                <w:caps/>
                <w:color w:val="FFFFFF" w:themeColor="background1"/>
                <w:sz w:val="20"/>
                <w:szCs w:val="20"/>
              </w:rPr>
              <w:t>Funding announced</w:t>
            </w:r>
          </w:p>
        </w:tc>
        <w:tc>
          <w:tcPr>
            <w:tcW w:w="2243" w:type="dxa"/>
            <w:shd w:val="clear" w:color="auto" w:fill="00B1AE" w:themeFill="text1" w:themeFillTint="BF"/>
          </w:tcPr>
          <w:p w14:paraId="6ADA17AC" w14:textId="2E8D9041" w:rsidR="00E0444E" w:rsidRPr="00DA4278" w:rsidRDefault="00E0444E" w:rsidP="00E0444E">
            <w:pPr>
              <w:pStyle w:val="NoSpacing"/>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
                <w:bCs/>
                <w:caps/>
                <w:color w:val="FFFFFF" w:themeColor="background1"/>
                <w:sz w:val="20"/>
                <w:szCs w:val="20"/>
              </w:rPr>
              <w:t xml:space="preserve">     </w:t>
            </w:r>
            <w:r w:rsidRPr="00DA4278">
              <w:rPr>
                <w:rFonts w:cs="Arial"/>
                <w:b/>
                <w:bCs/>
                <w:caps/>
                <w:color w:val="FFFFFF" w:themeColor="background1"/>
                <w:sz w:val="20"/>
                <w:szCs w:val="20"/>
              </w:rPr>
              <w:t>LINK</w:t>
            </w:r>
          </w:p>
        </w:tc>
      </w:tr>
      <w:tr w:rsidR="00E0444E" w:rsidRPr="006A546D" w14:paraId="0F54037C" w14:textId="77777777" w:rsidTr="00C14503">
        <w:trPr>
          <w:gridAfter w:val="1"/>
          <w:cnfStyle w:val="000000100000" w:firstRow="0" w:lastRow="0" w:firstColumn="0" w:lastColumn="0" w:oddVBand="0" w:evenVBand="0" w:oddHBand="1" w:evenHBand="0" w:firstRowFirstColumn="0" w:firstRowLastColumn="0" w:lastRowFirstColumn="0" w:lastRowLastColumn="0"/>
          <w:wAfter w:w="13" w:type="dxa"/>
          <w:trHeight w:val="355"/>
        </w:trPr>
        <w:tc>
          <w:tcPr>
            <w:cnfStyle w:val="001000000000" w:firstRow="0" w:lastRow="0" w:firstColumn="1" w:lastColumn="0" w:oddVBand="0" w:evenVBand="0" w:oddHBand="0" w:evenHBand="0" w:firstRowFirstColumn="0" w:firstRowLastColumn="0" w:lastRowFirstColumn="0" w:lastRowLastColumn="0"/>
            <w:tcW w:w="7366" w:type="dxa"/>
          </w:tcPr>
          <w:p w14:paraId="73FDDA20" w14:textId="227A392A" w:rsidR="00E0444E" w:rsidRDefault="00E0444E" w:rsidP="00E0444E">
            <w:pPr>
              <w:pStyle w:val="NoSpacing"/>
              <w:rPr>
                <w:rStyle w:val="Strong"/>
                <w:rFonts w:cs="Arial"/>
                <w:b/>
                <w:bCs/>
                <w:sz w:val="20"/>
                <w:szCs w:val="20"/>
              </w:rPr>
            </w:pPr>
            <w:r w:rsidRPr="00263C0B">
              <w:rPr>
                <w:rStyle w:val="Strong"/>
                <w:rFonts w:cs="Arial"/>
                <w:sz w:val="20"/>
                <w:szCs w:val="20"/>
              </w:rPr>
              <w:t xml:space="preserve">Ofgem has announced ten innovative large-scale demonstrator projects </w:t>
            </w:r>
            <w:r w:rsidR="00263C0B" w:rsidRPr="00263C0B">
              <w:rPr>
                <w:rStyle w:val="Strong"/>
                <w:rFonts w:cs="Arial"/>
                <w:sz w:val="20"/>
                <w:szCs w:val="20"/>
              </w:rPr>
              <w:t xml:space="preserve">under its </w:t>
            </w:r>
            <w:r w:rsidRPr="00263C0B">
              <w:rPr>
                <w:rStyle w:val="Strong"/>
                <w:rFonts w:cs="Arial"/>
                <w:sz w:val="20"/>
                <w:szCs w:val="20"/>
              </w:rPr>
              <w:t xml:space="preserve">Strategic Innovation Fund, delivered in partnership with Innovate UK. </w:t>
            </w:r>
          </w:p>
          <w:p w14:paraId="5B2EB8C2" w14:textId="77777777" w:rsidR="00F35E30" w:rsidRDefault="00F35E30" w:rsidP="00E0444E">
            <w:pPr>
              <w:pStyle w:val="NoSpacing"/>
              <w:rPr>
                <w:rStyle w:val="Strong"/>
                <w:rFonts w:cs="Arial"/>
                <w:b/>
                <w:bCs/>
                <w:szCs w:val="20"/>
              </w:rPr>
            </w:pPr>
          </w:p>
          <w:p w14:paraId="773FFC16" w14:textId="458BA8AA" w:rsidR="00F35E30" w:rsidRPr="00F35E30" w:rsidRDefault="00F35E30" w:rsidP="00E0444E">
            <w:pPr>
              <w:pStyle w:val="NoSpacing"/>
              <w:rPr>
                <w:rStyle w:val="Strong"/>
                <w:rFonts w:cs="Arial"/>
                <w:b/>
                <w:bCs/>
                <w:i/>
                <w:iCs/>
                <w:sz w:val="16"/>
                <w:szCs w:val="16"/>
              </w:rPr>
            </w:pPr>
            <w:r w:rsidRPr="00F35E30">
              <w:rPr>
                <w:rStyle w:val="Strong"/>
                <w:rFonts w:cs="Arial"/>
                <w:i/>
                <w:iCs/>
                <w:sz w:val="20"/>
                <w:szCs w:val="16"/>
              </w:rPr>
              <w:t xml:space="preserve">Northern Gas Networks and Cadent are partners in a number of these projects. </w:t>
            </w:r>
          </w:p>
          <w:p w14:paraId="67F0737C" w14:textId="6FA26CED" w:rsidR="00E0444E" w:rsidRPr="006A5831" w:rsidRDefault="00E0444E" w:rsidP="00E0444E">
            <w:pPr>
              <w:pStyle w:val="NoSpacing"/>
              <w:rPr>
                <w:rStyle w:val="Strong"/>
                <w:rFonts w:cs="Arial"/>
                <w:sz w:val="20"/>
                <w:szCs w:val="20"/>
              </w:rPr>
            </w:pPr>
          </w:p>
        </w:tc>
        <w:tc>
          <w:tcPr>
            <w:tcW w:w="2243" w:type="dxa"/>
          </w:tcPr>
          <w:p w14:paraId="0E8B4147" w14:textId="3D0730C3" w:rsidR="00E0444E" w:rsidRPr="00A27D83" w:rsidRDefault="00611308" w:rsidP="00E0444E">
            <w:pPr>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1" w:history="1">
              <w:r w:rsidR="00E0444E">
                <w:rPr>
                  <w:rStyle w:val="Hyperlink"/>
                  <w:rFonts w:cs="Arial"/>
                  <w:sz w:val="20"/>
                  <w:szCs w:val="20"/>
                </w:rPr>
                <w:t>UKRI</w:t>
              </w:r>
            </w:hyperlink>
          </w:p>
        </w:tc>
      </w:tr>
      <w:tr w:rsidR="00E0444E" w:rsidRPr="00A27D83" w14:paraId="6E9E9260" w14:textId="77777777" w:rsidTr="00C14503">
        <w:trPr>
          <w:gridAfter w:val="1"/>
          <w:wAfter w:w="13" w:type="dxa"/>
          <w:trHeight w:val="355"/>
        </w:trPr>
        <w:tc>
          <w:tcPr>
            <w:cnfStyle w:val="001000000000" w:firstRow="0" w:lastRow="0" w:firstColumn="1" w:lastColumn="0" w:oddVBand="0" w:evenVBand="0" w:oddHBand="0" w:evenHBand="0" w:firstRowFirstColumn="0" w:firstRowLastColumn="0" w:lastRowFirstColumn="0" w:lastRowLastColumn="0"/>
            <w:tcW w:w="7366" w:type="dxa"/>
          </w:tcPr>
          <w:p w14:paraId="3F668D36" w14:textId="28149E49" w:rsidR="00F35E30" w:rsidRDefault="00E0444E" w:rsidP="00F35E30">
            <w:pPr>
              <w:pStyle w:val="NoSpacing"/>
              <w:rPr>
                <w:sz w:val="20"/>
                <w:szCs w:val="22"/>
              </w:rPr>
            </w:pPr>
            <w:r w:rsidRPr="00F35E30">
              <w:rPr>
                <w:b w:val="0"/>
                <w:bCs w:val="0"/>
                <w:sz w:val="20"/>
                <w:szCs w:val="22"/>
              </w:rPr>
              <w:t>The Energy Bills Discount Scheme runs</w:t>
            </w:r>
            <w:r w:rsidR="00F35E30" w:rsidRPr="00F35E30">
              <w:rPr>
                <w:b w:val="0"/>
                <w:bCs w:val="0"/>
                <w:sz w:val="20"/>
                <w:szCs w:val="22"/>
              </w:rPr>
              <w:t xml:space="preserve"> until</w:t>
            </w:r>
            <w:r w:rsidRPr="00F35E30">
              <w:rPr>
                <w:b w:val="0"/>
                <w:bCs w:val="0"/>
                <w:sz w:val="20"/>
                <w:szCs w:val="22"/>
              </w:rPr>
              <w:t xml:space="preserve"> </w:t>
            </w:r>
            <w:r w:rsidR="00F35E30" w:rsidRPr="00F35E30">
              <w:rPr>
                <w:b w:val="0"/>
                <w:bCs w:val="0"/>
                <w:sz w:val="20"/>
                <w:szCs w:val="22"/>
              </w:rPr>
              <w:t>March 31</w:t>
            </w:r>
            <w:r w:rsidR="00F35E30" w:rsidRPr="00F35E30">
              <w:rPr>
                <w:b w:val="0"/>
                <w:bCs w:val="0"/>
                <w:sz w:val="20"/>
                <w:szCs w:val="22"/>
                <w:vertAlign w:val="superscript"/>
              </w:rPr>
              <w:t>st</w:t>
            </w:r>
            <w:r w:rsidR="00F35E30" w:rsidRPr="00F35E30">
              <w:rPr>
                <w:b w:val="0"/>
                <w:bCs w:val="0"/>
                <w:sz w:val="20"/>
                <w:szCs w:val="22"/>
              </w:rPr>
              <w:t xml:space="preserve"> 2024</w:t>
            </w:r>
            <w:r w:rsidRPr="00F35E30">
              <w:rPr>
                <w:b w:val="0"/>
                <w:bCs w:val="0"/>
                <w:sz w:val="20"/>
                <w:szCs w:val="22"/>
              </w:rPr>
              <w:t xml:space="preserve"> and is being administered by the Midlands Net Zero Hub. Th</w:t>
            </w:r>
            <w:r w:rsidR="00F35E30" w:rsidRPr="00F35E30">
              <w:rPr>
                <w:b w:val="0"/>
                <w:bCs w:val="0"/>
                <w:sz w:val="20"/>
                <w:szCs w:val="22"/>
              </w:rPr>
              <w:t>e</w:t>
            </w:r>
            <w:r w:rsidRPr="00F35E30">
              <w:rPr>
                <w:b w:val="0"/>
                <w:bCs w:val="0"/>
                <w:sz w:val="20"/>
                <w:szCs w:val="22"/>
              </w:rPr>
              <w:t xml:space="preserve"> scheme replaces the Energy Bill Relief Scheme</w:t>
            </w:r>
            <w:r w:rsidR="00F35E30">
              <w:rPr>
                <w:b w:val="0"/>
                <w:bCs w:val="0"/>
                <w:sz w:val="20"/>
                <w:szCs w:val="22"/>
              </w:rPr>
              <w:t>.</w:t>
            </w:r>
          </w:p>
          <w:p w14:paraId="7155E889" w14:textId="762332F3" w:rsidR="00E0444E" w:rsidRPr="00787112" w:rsidRDefault="00E0444E" w:rsidP="00F35E30">
            <w:pPr>
              <w:pStyle w:val="NoSpacing"/>
              <w:rPr>
                <w:rFonts w:cs="Arial"/>
                <w:b w:val="0"/>
                <w:sz w:val="20"/>
                <w:szCs w:val="22"/>
              </w:rPr>
            </w:pPr>
            <w:r w:rsidRPr="00787112">
              <w:rPr>
                <w:b w:val="0"/>
                <w:bCs w:val="0"/>
                <w:sz w:val="20"/>
                <w:szCs w:val="22"/>
              </w:rPr>
              <w:t xml:space="preserve"> </w:t>
            </w:r>
          </w:p>
        </w:tc>
        <w:tc>
          <w:tcPr>
            <w:tcW w:w="2243" w:type="dxa"/>
          </w:tcPr>
          <w:p w14:paraId="07C6BF1E" w14:textId="71E35745" w:rsidR="00E0444E" w:rsidRPr="00D40098" w:rsidRDefault="00611308" w:rsidP="00E0444E">
            <w:pPr>
              <w:cnfStyle w:val="000000000000" w:firstRow="0" w:lastRow="0" w:firstColumn="0" w:lastColumn="0" w:oddVBand="0" w:evenVBand="0" w:oddHBand="0" w:evenHBand="0" w:firstRowFirstColumn="0" w:firstRowLastColumn="0" w:lastRowFirstColumn="0" w:lastRowLastColumn="0"/>
              <w:rPr>
                <w:rFonts w:cs="Arial"/>
                <w:color w:val="00B1AE" w:themeColor="text1" w:themeTint="BF"/>
                <w:sz w:val="20"/>
                <w:szCs w:val="20"/>
              </w:rPr>
            </w:pPr>
            <w:hyperlink r:id="rId22" w:history="1">
              <w:r w:rsidR="00E0444E">
                <w:rPr>
                  <w:rStyle w:val="Hyperlink"/>
                </w:rPr>
                <w:t>DESNEZ</w:t>
              </w:r>
            </w:hyperlink>
          </w:p>
        </w:tc>
      </w:tr>
      <w:tr w:rsidR="00E0444E" w:rsidRPr="00A27D83" w14:paraId="073C4991" w14:textId="77777777" w:rsidTr="00C14503">
        <w:trPr>
          <w:gridAfter w:val="1"/>
          <w:cnfStyle w:val="000000100000" w:firstRow="0" w:lastRow="0" w:firstColumn="0" w:lastColumn="0" w:oddVBand="0" w:evenVBand="0" w:oddHBand="1" w:evenHBand="0" w:firstRowFirstColumn="0" w:firstRowLastColumn="0" w:lastRowFirstColumn="0" w:lastRowLastColumn="0"/>
          <w:wAfter w:w="13" w:type="dxa"/>
          <w:trHeight w:val="355"/>
        </w:trPr>
        <w:tc>
          <w:tcPr>
            <w:cnfStyle w:val="001000000000" w:firstRow="0" w:lastRow="0" w:firstColumn="1" w:lastColumn="0" w:oddVBand="0" w:evenVBand="0" w:oddHBand="0" w:evenHBand="0" w:firstRowFirstColumn="0" w:firstRowLastColumn="0" w:lastRowFirstColumn="0" w:lastRowLastColumn="0"/>
            <w:tcW w:w="7366" w:type="dxa"/>
          </w:tcPr>
          <w:p w14:paraId="5D6AFCBB" w14:textId="77777777" w:rsidR="00E0444E" w:rsidRDefault="00E0444E" w:rsidP="00E0444E">
            <w:pPr>
              <w:pStyle w:val="NoSpacing"/>
              <w:rPr>
                <w:sz w:val="20"/>
                <w:szCs w:val="22"/>
              </w:rPr>
            </w:pPr>
            <w:r w:rsidRPr="00787112">
              <w:rPr>
                <w:b w:val="0"/>
                <w:bCs w:val="0"/>
                <w:sz w:val="20"/>
                <w:szCs w:val="22"/>
              </w:rPr>
              <w:t>Training providers across England can bid for a share of £8.85 million government funding to offer courses in retrofitting and installing insulation.</w:t>
            </w:r>
            <w:r w:rsidRPr="00787112">
              <w:rPr>
                <w:sz w:val="20"/>
                <w:szCs w:val="22"/>
              </w:rPr>
              <w:t xml:space="preserve"> </w:t>
            </w:r>
            <w:r w:rsidRPr="00787112">
              <w:rPr>
                <w:b w:val="0"/>
                <w:bCs w:val="0"/>
                <w:sz w:val="20"/>
                <w:szCs w:val="22"/>
              </w:rPr>
              <w:t>The courses will be free or provided at low cost and will cover a range of key energy efficiency measures, from putting in loft insulation to draft proofing measures.</w:t>
            </w:r>
          </w:p>
          <w:p w14:paraId="41D95D75" w14:textId="3997EAED" w:rsidR="00E0444E" w:rsidRPr="00787112" w:rsidRDefault="00E0444E" w:rsidP="00E0444E">
            <w:pPr>
              <w:pStyle w:val="NoSpacing"/>
              <w:rPr>
                <w:rFonts w:cs="Arial"/>
                <w:b w:val="0"/>
                <w:bCs w:val="0"/>
                <w:sz w:val="20"/>
                <w:szCs w:val="22"/>
                <w:shd w:val="clear" w:color="auto" w:fill="FFFFFF"/>
              </w:rPr>
            </w:pPr>
          </w:p>
        </w:tc>
        <w:tc>
          <w:tcPr>
            <w:tcW w:w="2243" w:type="dxa"/>
          </w:tcPr>
          <w:p w14:paraId="4AE3262C" w14:textId="141C5F7D" w:rsidR="00E0444E" w:rsidRPr="00D40098" w:rsidRDefault="00611308" w:rsidP="00E0444E">
            <w:pPr>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3" w:history="1">
              <w:r w:rsidR="00E0444E">
                <w:rPr>
                  <w:rStyle w:val="Hyperlink"/>
                  <w:rFonts w:cs="Arial"/>
                  <w:sz w:val="20"/>
                  <w:szCs w:val="20"/>
                </w:rPr>
                <w:t>DESNEZ</w:t>
              </w:r>
            </w:hyperlink>
          </w:p>
        </w:tc>
      </w:tr>
      <w:tr w:rsidR="00BB54A4" w:rsidRPr="00A27D83" w14:paraId="143A9FE0" w14:textId="77777777" w:rsidTr="00C14503">
        <w:trPr>
          <w:gridAfter w:val="1"/>
          <w:wAfter w:w="13" w:type="dxa"/>
          <w:trHeight w:val="355"/>
        </w:trPr>
        <w:tc>
          <w:tcPr>
            <w:cnfStyle w:val="001000000000" w:firstRow="0" w:lastRow="0" w:firstColumn="1" w:lastColumn="0" w:oddVBand="0" w:evenVBand="0" w:oddHBand="0" w:evenHBand="0" w:firstRowFirstColumn="0" w:firstRowLastColumn="0" w:lastRowFirstColumn="0" w:lastRowLastColumn="0"/>
            <w:tcW w:w="7366" w:type="dxa"/>
          </w:tcPr>
          <w:p w14:paraId="0C8F501A" w14:textId="345F7468" w:rsidR="00940898" w:rsidRPr="00490E56" w:rsidRDefault="00D461BA" w:rsidP="00940898">
            <w:pPr>
              <w:pStyle w:val="NoSpacing"/>
              <w:rPr>
                <w:b w:val="0"/>
                <w:bCs w:val="0"/>
                <w:sz w:val="20"/>
                <w:szCs w:val="22"/>
              </w:rPr>
            </w:pPr>
            <w:r w:rsidRPr="00490E56">
              <w:rPr>
                <w:b w:val="0"/>
                <w:bCs w:val="0"/>
                <w:sz w:val="20"/>
                <w:szCs w:val="22"/>
              </w:rPr>
              <w:lastRenderedPageBreak/>
              <w:t xml:space="preserve">Innovate UK’s Net Zero Living Programme is a £60 million, three-year programme that aims to help places and businesses across the UK to accelerate the delivery of the transition to net zero. </w:t>
            </w:r>
            <w:r w:rsidR="00940898" w:rsidRPr="00490E56">
              <w:rPr>
                <w:b w:val="0"/>
                <w:bCs w:val="0"/>
                <w:sz w:val="20"/>
                <w:szCs w:val="22"/>
              </w:rPr>
              <w:t>It plans to help places to open markets by:</w:t>
            </w:r>
          </w:p>
          <w:p w14:paraId="71009A4F" w14:textId="77777777" w:rsidR="00940898" w:rsidRPr="00490E56" w:rsidRDefault="00940898" w:rsidP="00940898">
            <w:pPr>
              <w:pStyle w:val="NoSpacing"/>
              <w:rPr>
                <w:b w:val="0"/>
                <w:bCs w:val="0"/>
                <w:sz w:val="20"/>
                <w:szCs w:val="22"/>
              </w:rPr>
            </w:pPr>
          </w:p>
          <w:p w14:paraId="3F2CB0A0" w14:textId="2EFF2EE5" w:rsidR="00940898" w:rsidRPr="00490E56" w:rsidRDefault="00940898" w:rsidP="00BF6BE8">
            <w:pPr>
              <w:pStyle w:val="NoSpacing"/>
              <w:numPr>
                <w:ilvl w:val="0"/>
                <w:numId w:val="4"/>
              </w:numPr>
              <w:rPr>
                <w:b w:val="0"/>
                <w:bCs w:val="0"/>
                <w:sz w:val="20"/>
                <w:szCs w:val="22"/>
              </w:rPr>
            </w:pPr>
            <w:r w:rsidRPr="00490E56">
              <w:rPr>
                <w:b w:val="0"/>
                <w:bCs w:val="0"/>
                <w:sz w:val="20"/>
                <w:szCs w:val="22"/>
              </w:rPr>
              <w:t>Removing the non-technical barriers to demand, including skills, organisational capacity, citizen engagement, financing, procurement and governance processes.</w:t>
            </w:r>
          </w:p>
          <w:p w14:paraId="3080C191" w14:textId="5E2957C8" w:rsidR="00940898" w:rsidRPr="00490E56" w:rsidRDefault="00940898" w:rsidP="00BF6BE8">
            <w:pPr>
              <w:pStyle w:val="NoSpacing"/>
              <w:numPr>
                <w:ilvl w:val="0"/>
                <w:numId w:val="4"/>
              </w:numPr>
              <w:rPr>
                <w:b w:val="0"/>
                <w:bCs w:val="0"/>
                <w:sz w:val="20"/>
                <w:szCs w:val="22"/>
              </w:rPr>
            </w:pPr>
            <w:r w:rsidRPr="00490E56">
              <w:rPr>
                <w:b w:val="0"/>
                <w:bCs w:val="0"/>
                <w:sz w:val="20"/>
                <w:szCs w:val="22"/>
              </w:rPr>
              <w:t>Driving business growth and innovation across the economy.</w:t>
            </w:r>
          </w:p>
          <w:p w14:paraId="21E04F5E" w14:textId="568EB08A" w:rsidR="00BB54A4" w:rsidRPr="00153A8D" w:rsidRDefault="00940898" w:rsidP="00BF6BE8">
            <w:pPr>
              <w:pStyle w:val="NoSpacing"/>
              <w:numPr>
                <w:ilvl w:val="0"/>
                <w:numId w:val="4"/>
              </w:numPr>
              <w:rPr>
                <w:b w:val="0"/>
                <w:bCs w:val="0"/>
                <w:sz w:val="20"/>
                <w:szCs w:val="22"/>
              </w:rPr>
            </w:pPr>
            <w:r w:rsidRPr="00490E56">
              <w:rPr>
                <w:b w:val="0"/>
                <w:bCs w:val="0"/>
                <w:sz w:val="20"/>
                <w:szCs w:val="22"/>
              </w:rPr>
              <w:t>Unlocking significant additional private investment to enable true levelling-up both between and within places.</w:t>
            </w:r>
          </w:p>
        </w:tc>
        <w:tc>
          <w:tcPr>
            <w:tcW w:w="2243" w:type="dxa"/>
          </w:tcPr>
          <w:p w14:paraId="35518A7D" w14:textId="77F125CD" w:rsidR="00BB54A4" w:rsidRDefault="00611308" w:rsidP="00E0444E">
            <w:pPr>
              <w:cnfStyle w:val="000000000000" w:firstRow="0" w:lastRow="0" w:firstColumn="0" w:lastColumn="0" w:oddVBand="0" w:evenVBand="0" w:oddHBand="0" w:evenHBand="0" w:firstRowFirstColumn="0" w:firstRowLastColumn="0" w:lastRowFirstColumn="0" w:lastRowLastColumn="0"/>
            </w:pPr>
            <w:hyperlink r:id="rId24" w:history="1">
              <w:r w:rsidR="00E95EC2">
                <w:rPr>
                  <w:rStyle w:val="Hyperlink"/>
                </w:rPr>
                <w:t>Innovate UK</w:t>
              </w:r>
            </w:hyperlink>
          </w:p>
        </w:tc>
      </w:tr>
    </w:tbl>
    <w:p w14:paraId="61CE05D7" w14:textId="77777777" w:rsidR="00CA7B34" w:rsidRPr="00A27D83" w:rsidRDefault="00CA7B34" w:rsidP="00BA0421">
      <w:pPr>
        <w:tabs>
          <w:tab w:val="clear" w:pos="284"/>
        </w:tabs>
        <w:spacing w:after="0" w:line="240" w:lineRule="auto"/>
        <w:rPr>
          <w:rFonts w:cs="Arial"/>
          <w:sz w:val="20"/>
          <w:szCs w:val="20"/>
        </w:rPr>
      </w:pPr>
    </w:p>
    <w:tbl>
      <w:tblPr>
        <w:tblStyle w:val="ListTable3-Accent2"/>
        <w:tblW w:w="0" w:type="auto"/>
        <w:tblLook w:val="04A0" w:firstRow="1" w:lastRow="0" w:firstColumn="1" w:lastColumn="0" w:noHBand="0" w:noVBand="1"/>
      </w:tblPr>
      <w:tblGrid>
        <w:gridCol w:w="5949"/>
        <w:gridCol w:w="1843"/>
        <w:gridCol w:w="1830"/>
      </w:tblGrid>
      <w:tr w:rsidR="006228A0" w:rsidRPr="00A27D83" w14:paraId="5BE9468D" w14:textId="77777777" w:rsidTr="00C924CC">
        <w:trPr>
          <w:cnfStyle w:val="100000000000" w:firstRow="1" w:lastRow="0" w:firstColumn="0" w:lastColumn="0" w:oddVBand="0" w:evenVBand="0" w:oddHBand="0" w:evenHBand="0" w:firstRowFirstColumn="0" w:firstRowLastColumn="0" w:lastRowFirstColumn="0" w:lastRowLastColumn="0"/>
          <w:trHeight w:val="434"/>
        </w:trPr>
        <w:tc>
          <w:tcPr>
            <w:cnfStyle w:val="001000000100" w:firstRow="0" w:lastRow="0" w:firstColumn="1" w:lastColumn="0" w:oddVBand="0" w:evenVBand="0" w:oddHBand="0" w:evenHBand="0" w:firstRowFirstColumn="1" w:firstRowLastColumn="0" w:lastRowFirstColumn="0" w:lastRowLastColumn="0"/>
            <w:tcW w:w="5949" w:type="dxa"/>
          </w:tcPr>
          <w:p w14:paraId="685CE06A" w14:textId="77777777" w:rsidR="006228A0" w:rsidRPr="00A27D83" w:rsidRDefault="006228A0">
            <w:pPr>
              <w:rPr>
                <w:rFonts w:cs="Arial"/>
                <w:caps/>
                <w:sz w:val="20"/>
                <w:szCs w:val="20"/>
              </w:rPr>
            </w:pPr>
            <w:r w:rsidRPr="00A27D83">
              <w:rPr>
                <w:rFonts w:cs="Arial"/>
                <w:caps/>
                <w:sz w:val="20"/>
                <w:szCs w:val="20"/>
              </w:rPr>
              <w:t xml:space="preserve">Research and statistics </w:t>
            </w:r>
          </w:p>
        </w:tc>
        <w:tc>
          <w:tcPr>
            <w:tcW w:w="3673" w:type="dxa"/>
            <w:gridSpan w:val="2"/>
          </w:tcPr>
          <w:p w14:paraId="4E1A2424" w14:textId="63DF6058" w:rsidR="006228A0" w:rsidRPr="00A27D83" w:rsidRDefault="00C924CC">
            <w:pPr>
              <w:ind w:left="36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27D83">
              <w:rPr>
                <w:rFonts w:cs="Arial"/>
                <w:caps/>
                <w:sz w:val="20"/>
                <w:szCs w:val="20"/>
              </w:rPr>
              <w:t xml:space="preserve"> </w:t>
            </w:r>
            <w:r w:rsidR="006228A0" w:rsidRPr="00A27D83">
              <w:rPr>
                <w:rFonts w:cs="Arial"/>
                <w:caps/>
                <w:sz w:val="20"/>
                <w:szCs w:val="20"/>
              </w:rPr>
              <w:t>LINK</w:t>
            </w:r>
          </w:p>
        </w:tc>
      </w:tr>
      <w:tr w:rsidR="00633B82" w:rsidRPr="00A27D83" w14:paraId="67C69B9A" w14:textId="77777777" w:rsidTr="00C1450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792" w:type="dxa"/>
            <w:gridSpan w:val="2"/>
          </w:tcPr>
          <w:p w14:paraId="72D31CA4" w14:textId="5F3FA88C" w:rsidR="00633B82" w:rsidRDefault="00633B82" w:rsidP="00633B82">
            <w:pPr>
              <w:pStyle w:val="NoSpacing"/>
              <w:rPr>
                <w:rStyle w:val="Strong"/>
                <w:rFonts w:cs="Arial"/>
                <w:b/>
                <w:bCs/>
                <w:sz w:val="20"/>
                <w:szCs w:val="20"/>
              </w:rPr>
            </w:pPr>
            <w:r>
              <w:rPr>
                <w:rStyle w:val="Strong"/>
                <w:rFonts w:cs="Arial"/>
                <w:sz w:val="20"/>
                <w:szCs w:val="20"/>
              </w:rPr>
              <w:t xml:space="preserve">DESNEZ has released </w:t>
            </w:r>
            <w:r w:rsidRPr="006E5958">
              <w:rPr>
                <w:rStyle w:val="Strong"/>
                <w:rFonts w:cs="Arial"/>
                <w:sz w:val="20"/>
                <w:szCs w:val="20"/>
              </w:rPr>
              <w:t>Social Housing Decarbonisation Fund statistics</w:t>
            </w:r>
            <w:r>
              <w:rPr>
                <w:rStyle w:val="Strong"/>
                <w:rFonts w:cs="Arial"/>
                <w:sz w:val="20"/>
                <w:szCs w:val="20"/>
              </w:rPr>
              <w:t xml:space="preserve"> </w:t>
            </w:r>
            <w:r w:rsidR="00896409">
              <w:rPr>
                <w:rStyle w:val="Strong"/>
                <w:rFonts w:cs="Arial"/>
                <w:sz w:val="20"/>
                <w:szCs w:val="20"/>
              </w:rPr>
              <w:t xml:space="preserve">on the number of households and measures </w:t>
            </w:r>
            <w:r w:rsidR="00103A9D">
              <w:rPr>
                <w:rStyle w:val="Strong"/>
                <w:rFonts w:cs="Arial"/>
                <w:sz w:val="20"/>
                <w:szCs w:val="20"/>
              </w:rPr>
              <w:t xml:space="preserve">that have been installed or upgraded. </w:t>
            </w:r>
            <w:r>
              <w:rPr>
                <w:rStyle w:val="Strong"/>
                <w:rFonts w:cs="Arial"/>
                <w:sz w:val="20"/>
                <w:szCs w:val="20"/>
              </w:rPr>
              <w:t>The d</w:t>
            </w:r>
            <w:r w:rsidRPr="003155EE">
              <w:rPr>
                <w:rStyle w:val="Strong"/>
                <w:rFonts w:cs="Arial"/>
                <w:sz w:val="20"/>
                <w:szCs w:val="20"/>
              </w:rPr>
              <w:t>ata</w:t>
            </w:r>
            <w:r>
              <w:rPr>
                <w:rStyle w:val="Strong"/>
                <w:rFonts w:cs="Arial"/>
                <w:sz w:val="20"/>
                <w:szCs w:val="20"/>
              </w:rPr>
              <w:t xml:space="preserve"> can be used</w:t>
            </w:r>
            <w:r w:rsidRPr="003155EE">
              <w:rPr>
                <w:rStyle w:val="Strong"/>
                <w:rFonts w:cs="Arial"/>
                <w:sz w:val="20"/>
                <w:szCs w:val="20"/>
              </w:rPr>
              <w:t xml:space="preserve"> to monitor the installation of energy efficiency measures in domestic properties via the Social Housing Decarbonisation Fund</w:t>
            </w:r>
            <w:r>
              <w:rPr>
                <w:rStyle w:val="Strong"/>
                <w:rFonts w:cs="Arial"/>
                <w:sz w:val="20"/>
                <w:szCs w:val="20"/>
              </w:rPr>
              <w:t xml:space="preserve"> </w:t>
            </w:r>
            <w:r w:rsidRPr="003155EE">
              <w:rPr>
                <w:rStyle w:val="Strong"/>
                <w:rFonts w:cs="Arial"/>
                <w:sz w:val="20"/>
                <w:szCs w:val="20"/>
              </w:rPr>
              <w:t>scheme in England.</w:t>
            </w:r>
          </w:p>
          <w:p w14:paraId="3425E766" w14:textId="5BAD3132" w:rsidR="00017DAB" w:rsidRPr="00A27D83" w:rsidRDefault="00017DAB" w:rsidP="00633B82">
            <w:pPr>
              <w:pStyle w:val="NoSpacing"/>
              <w:rPr>
                <w:rFonts w:cs="Arial"/>
                <w:b w:val="0"/>
                <w:bCs w:val="0"/>
                <w:color w:val="4A4A4A"/>
                <w:sz w:val="20"/>
                <w:szCs w:val="20"/>
              </w:rPr>
            </w:pPr>
          </w:p>
        </w:tc>
        <w:tc>
          <w:tcPr>
            <w:tcW w:w="1830" w:type="dxa"/>
          </w:tcPr>
          <w:p w14:paraId="2D2B0E0C" w14:textId="1E4521C9" w:rsidR="00633B82" w:rsidRPr="00D40098" w:rsidRDefault="00611308" w:rsidP="00633B82">
            <w:pPr>
              <w:spacing w:line="240" w:lineRule="exac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5" w:history="1">
              <w:r w:rsidR="00633B82">
                <w:rPr>
                  <w:rStyle w:val="Hyperlink"/>
                  <w:rFonts w:cs="Arial"/>
                  <w:sz w:val="20"/>
                  <w:szCs w:val="20"/>
                </w:rPr>
                <w:t>DESNEZ</w:t>
              </w:r>
            </w:hyperlink>
          </w:p>
        </w:tc>
      </w:tr>
      <w:tr w:rsidR="00633B82" w:rsidRPr="00A27D83" w14:paraId="45FEA72C" w14:textId="77777777" w:rsidTr="00C14503">
        <w:trPr>
          <w:trHeight w:val="359"/>
        </w:trPr>
        <w:tc>
          <w:tcPr>
            <w:cnfStyle w:val="001000000000" w:firstRow="0" w:lastRow="0" w:firstColumn="1" w:lastColumn="0" w:oddVBand="0" w:evenVBand="0" w:oddHBand="0" w:evenHBand="0" w:firstRowFirstColumn="0" w:firstRowLastColumn="0" w:lastRowFirstColumn="0" w:lastRowLastColumn="0"/>
            <w:tcW w:w="7792" w:type="dxa"/>
            <w:gridSpan w:val="2"/>
          </w:tcPr>
          <w:p w14:paraId="0583EBB4" w14:textId="1EA43168" w:rsidR="00F91D15" w:rsidRDefault="00633B82" w:rsidP="00633B82">
            <w:pPr>
              <w:pStyle w:val="NoSpacing"/>
              <w:rPr>
                <w:rStyle w:val="Strong"/>
                <w:rFonts w:cs="Arial"/>
                <w:b/>
                <w:bCs/>
                <w:sz w:val="20"/>
                <w:szCs w:val="20"/>
              </w:rPr>
            </w:pPr>
            <w:r>
              <w:rPr>
                <w:rStyle w:val="Strong"/>
                <w:rFonts w:cs="Arial"/>
                <w:sz w:val="20"/>
                <w:szCs w:val="20"/>
              </w:rPr>
              <w:t>DESNEZ have published</w:t>
            </w:r>
            <w:r w:rsidRPr="006E2DD4">
              <w:rPr>
                <w:rStyle w:val="Strong"/>
                <w:rFonts w:cs="Arial"/>
                <w:sz w:val="20"/>
                <w:szCs w:val="20"/>
              </w:rPr>
              <w:t xml:space="preserve"> </w:t>
            </w:r>
            <w:r w:rsidR="00B17C88">
              <w:rPr>
                <w:rStyle w:val="Strong"/>
                <w:rFonts w:cs="Arial"/>
                <w:sz w:val="20"/>
                <w:szCs w:val="20"/>
              </w:rPr>
              <w:t>a variety of st</w:t>
            </w:r>
            <w:r w:rsidR="008D4CE2">
              <w:rPr>
                <w:rStyle w:val="Strong"/>
                <w:rFonts w:cs="Arial"/>
                <w:sz w:val="20"/>
                <w:szCs w:val="20"/>
              </w:rPr>
              <w:t>atistics</w:t>
            </w:r>
            <w:r w:rsidR="00F91D15">
              <w:rPr>
                <w:rStyle w:val="Strong"/>
                <w:rFonts w:cs="Arial"/>
                <w:sz w:val="20"/>
                <w:szCs w:val="20"/>
              </w:rPr>
              <w:t xml:space="preserve"> linked to various domestic retrofit programmes. These include:</w:t>
            </w:r>
          </w:p>
          <w:p w14:paraId="721EB843" w14:textId="1C0815F6" w:rsidR="00633B82" w:rsidRDefault="00611308" w:rsidP="00BF6BE8">
            <w:pPr>
              <w:pStyle w:val="NoSpacing"/>
              <w:numPr>
                <w:ilvl w:val="0"/>
                <w:numId w:val="3"/>
              </w:numPr>
              <w:rPr>
                <w:rStyle w:val="Strong"/>
                <w:rFonts w:cs="Arial"/>
                <w:b/>
                <w:bCs/>
                <w:sz w:val="20"/>
                <w:szCs w:val="20"/>
              </w:rPr>
            </w:pPr>
            <w:hyperlink r:id="rId26" w:history="1">
              <w:r w:rsidR="003F7547" w:rsidRPr="003F7547">
                <w:rPr>
                  <w:rStyle w:val="Hyperlink"/>
                  <w:rFonts w:cs="Arial"/>
                  <w:b w:val="0"/>
                  <w:bCs w:val="0"/>
                  <w:sz w:val="20"/>
                  <w:szCs w:val="20"/>
                </w:rPr>
                <w:t>Boiler Upgrade Scheme</w:t>
              </w:r>
            </w:hyperlink>
            <w:r w:rsidR="00633B82" w:rsidRPr="006E2DD4">
              <w:rPr>
                <w:rStyle w:val="Strong"/>
                <w:rFonts w:cs="Arial"/>
                <w:sz w:val="20"/>
                <w:szCs w:val="20"/>
              </w:rPr>
              <w:t xml:space="preserve"> statistics for the estimation of capital grant uptake to support the installations of low carbon technologies in domestic and non-domestic buildings</w:t>
            </w:r>
            <w:r w:rsidR="00633B82">
              <w:rPr>
                <w:rStyle w:val="Strong"/>
                <w:rFonts w:cs="Arial"/>
                <w:sz w:val="20"/>
                <w:szCs w:val="20"/>
              </w:rPr>
              <w:t>.</w:t>
            </w:r>
          </w:p>
          <w:p w14:paraId="363BEBDF" w14:textId="377A52D0" w:rsidR="003F022B" w:rsidRPr="00E72115" w:rsidRDefault="00611308" w:rsidP="00BF6BE8">
            <w:pPr>
              <w:pStyle w:val="NoSpacing"/>
              <w:numPr>
                <w:ilvl w:val="0"/>
                <w:numId w:val="3"/>
              </w:numPr>
              <w:rPr>
                <w:rFonts w:cs="Arial"/>
                <w:b w:val="0"/>
                <w:bCs w:val="0"/>
                <w:sz w:val="20"/>
                <w:szCs w:val="20"/>
              </w:rPr>
            </w:pPr>
            <w:hyperlink r:id="rId27" w:history="1">
              <w:r w:rsidR="003F022B" w:rsidRPr="009A17F8">
                <w:rPr>
                  <w:rStyle w:val="Hyperlink"/>
                  <w:rFonts w:cs="Arial"/>
                  <w:b w:val="0"/>
                  <w:bCs w:val="0"/>
                  <w:sz w:val="20"/>
                  <w:szCs w:val="20"/>
                </w:rPr>
                <w:t>Warm Home Discount</w:t>
              </w:r>
            </w:hyperlink>
            <w:r w:rsidR="003F022B" w:rsidRPr="00E72115">
              <w:rPr>
                <w:rStyle w:val="Hyperlink"/>
                <w:rFonts w:cs="Arial"/>
                <w:b w:val="0"/>
                <w:bCs w:val="0"/>
                <w:sz w:val="20"/>
                <w:szCs w:val="20"/>
              </w:rPr>
              <w:t xml:space="preserve"> </w:t>
            </w:r>
            <w:r w:rsidR="003F022B" w:rsidRPr="00E72115">
              <w:rPr>
                <w:b w:val="0"/>
                <w:bCs w:val="0"/>
                <w:sz w:val="20"/>
                <w:szCs w:val="22"/>
              </w:rPr>
              <w:t>scheme, providing figures on the number of households receiving the Warm Home Discount.</w:t>
            </w:r>
          </w:p>
          <w:p w14:paraId="086B675F" w14:textId="55455D70" w:rsidR="003F022B" w:rsidRPr="009A17F8" w:rsidRDefault="003F022B" w:rsidP="00BF6BE8">
            <w:pPr>
              <w:pStyle w:val="NoSpacing"/>
              <w:numPr>
                <w:ilvl w:val="0"/>
                <w:numId w:val="3"/>
              </w:numPr>
              <w:rPr>
                <w:rStyle w:val="Strong"/>
                <w:rFonts w:cs="Arial"/>
                <w:sz w:val="20"/>
                <w:szCs w:val="20"/>
              </w:rPr>
            </w:pPr>
            <w:r w:rsidRPr="00E72115">
              <w:rPr>
                <w:rFonts w:cs="Arial"/>
                <w:b w:val="0"/>
                <w:bCs w:val="0"/>
                <w:sz w:val="20"/>
                <w:szCs w:val="20"/>
              </w:rPr>
              <w:t xml:space="preserve">The performance of the </w:t>
            </w:r>
            <w:hyperlink r:id="rId28" w:history="1">
              <w:r w:rsidRPr="009A17F8">
                <w:rPr>
                  <w:rStyle w:val="Hyperlink"/>
                  <w:rFonts w:cs="Arial"/>
                  <w:b w:val="0"/>
                  <w:bCs w:val="0"/>
                  <w:sz w:val="20"/>
                  <w:szCs w:val="20"/>
                </w:rPr>
                <w:t>UK Emissions Trading</w:t>
              </w:r>
            </w:hyperlink>
            <w:r w:rsidRPr="00E72115">
              <w:rPr>
                <w:rFonts w:cs="Arial"/>
                <w:b w:val="0"/>
                <w:bCs w:val="0"/>
                <w:sz w:val="20"/>
                <w:szCs w:val="20"/>
              </w:rPr>
              <w:t xml:space="preserve"> Scheme during the first and second scheme years of its operation.</w:t>
            </w:r>
          </w:p>
          <w:p w14:paraId="7CA32B59" w14:textId="5D2DCE98" w:rsidR="00017DAB" w:rsidRPr="00A27D83" w:rsidRDefault="00017DAB" w:rsidP="00633B82">
            <w:pPr>
              <w:pStyle w:val="NoSpacing"/>
              <w:rPr>
                <w:rStyle w:val="Strong"/>
                <w:rFonts w:cs="Arial"/>
                <w:b/>
                <w:bCs/>
                <w:sz w:val="20"/>
                <w:szCs w:val="20"/>
              </w:rPr>
            </w:pPr>
          </w:p>
        </w:tc>
        <w:tc>
          <w:tcPr>
            <w:tcW w:w="1830" w:type="dxa"/>
          </w:tcPr>
          <w:p w14:paraId="1AC300B4" w14:textId="7D3F342A" w:rsidR="00633B82" w:rsidRPr="00D40098" w:rsidRDefault="00633B82" w:rsidP="00633B82">
            <w:pPr>
              <w:spacing w:line="240" w:lineRule="exact"/>
              <w:cnfStyle w:val="000000000000" w:firstRow="0" w:lastRow="0" w:firstColumn="0" w:lastColumn="0" w:oddVBand="0" w:evenVBand="0" w:oddHBand="0" w:evenHBand="0" w:firstRowFirstColumn="0" w:firstRowLastColumn="0" w:lastRowFirstColumn="0" w:lastRowLastColumn="0"/>
              <w:rPr>
                <w:rFonts w:cs="Arial"/>
                <w:color w:val="00B1AE" w:themeColor="text1" w:themeTint="BF"/>
                <w:sz w:val="20"/>
                <w:szCs w:val="20"/>
              </w:rPr>
            </w:pPr>
          </w:p>
        </w:tc>
      </w:tr>
      <w:tr w:rsidR="001713A0" w:rsidRPr="00A27D83" w14:paraId="734581BF" w14:textId="77777777" w:rsidTr="00C1450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792" w:type="dxa"/>
            <w:gridSpan w:val="2"/>
          </w:tcPr>
          <w:p w14:paraId="4EF3F693" w14:textId="77777777" w:rsidR="00017DAB" w:rsidRDefault="001713A0" w:rsidP="006B1591">
            <w:pPr>
              <w:pStyle w:val="NoSpacing"/>
              <w:rPr>
                <w:rStyle w:val="Strong"/>
                <w:rFonts w:cs="Arial"/>
                <w:b/>
                <w:bCs/>
                <w:sz w:val="20"/>
                <w:szCs w:val="16"/>
              </w:rPr>
            </w:pPr>
            <w:r>
              <w:rPr>
                <w:rStyle w:val="Strong"/>
                <w:rFonts w:cs="Arial"/>
                <w:sz w:val="20"/>
                <w:szCs w:val="20"/>
              </w:rPr>
              <w:t>DESNEZ have released a s</w:t>
            </w:r>
            <w:r w:rsidRPr="0032785C">
              <w:rPr>
                <w:rStyle w:val="Strong"/>
                <w:rFonts w:cs="Arial"/>
                <w:sz w:val="20"/>
                <w:szCs w:val="20"/>
              </w:rPr>
              <w:t>ummary of some of the key annual statistics in the UK energy system</w:t>
            </w:r>
            <w:r>
              <w:rPr>
                <w:rStyle w:val="Strong"/>
                <w:rFonts w:cs="Arial"/>
                <w:sz w:val="20"/>
                <w:szCs w:val="20"/>
              </w:rPr>
              <w:t>.</w:t>
            </w:r>
            <w:r w:rsidR="009977E5">
              <w:rPr>
                <w:rStyle w:val="Strong"/>
                <w:rFonts w:cs="Arial"/>
                <w:sz w:val="20"/>
                <w:szCs w:val="20"/>
              </w:rPr>
              <w:t xml:space="preserve"> </w:t>
            </w:r>
          </w:p>
          <w:p w14:paraId="339BDBB8" w14:textId="11BE9282" w:rsidR="006B1591" w:rsidRDefault="006B1591" w:rsidP="006B1591">
            <w:pPr>
              <w:pStyle w:val="NoSpacing"/>
              <w:rPr>
                <w:rFonts w:cs="Arial"/>
                <w:b w:val="0"/>
                <w:bCs w:val="0"/>
                <w:sz w:val="20"/>
                <w:szCs w:val="20"/>
              </w:rPr>
            </w:pPr>
          </w:p>
        </w:tc>
        <w:tc>
          <w:tcPr>
            <w:tcW w:w="1830" w:type="dxa"/>
          </w:tcPr>
          <w:p w14:paraId="7D48F755" w14:textId="1C2DF536" w:rsidR="001713A0" w:rsidRPr="001713A0" w:rsidRDefault="00611308" w:rsidP="001713A0">
            <w:pPr>
              <w:spacing w:line="240" w:lineRule="exact"/>
              <w:cnfStyle w:val="000000100000" w:firstRow="0" w:lastRow="0" w:firstColumn="0" w:lastColumn="0" w:oddVBand="0" w:evenVBand="0" w:oddHBand="1" w:evenHBand="0" w:firstRowFirstColumn="0" w:firstRowLastColumn="0" w:lastRowFirstColumn="0" w:lastRowLastColumn="0"/>
              <w:rPr>
                <w:rFonts w:cs="Arial"/>
                <w:sz w:val="20"/>
                <w:szCs w:val="20"/>
              </w:rPr>
            </w:pPr>
            <w:hyperlink r:id="rId29" w:history="1">
              <w:r w:rsidR="001713A0">
                <w:rPr>
                  <w:rStyle w:val="Hyperlink"/>
                  <w:rFonts w:cs="Arial"/>
                  <w:sz w:val="20"/>
                  <w:szCs w:val="20"/>
                </w:rPr>
                <w:t>DESNEZ</w:t>
              </w:r>
            </w:hyperlink>
          </w:p>
        </w:tc>
      </w:tr>
    </w:tbl>
    <w:p w14:paraId="5208592B" w14:textId="77777777" w:rsidR="00834949" w:rsidRPr="00A27D83" w:rsidRDefault="00834949" w:rsidP="00BA0421">
      <w:pPr>
        <w:tabs>
          <w:tab w:val="clear" w:pos="284"/>
        </w:tabs>
        <w:spacing w:after="0" w:line="240" w:lineRule="auto"/>
        <w:rPr>
          <w:rFonts w:cs="Arial"/>
          <w:sz w:val="20"/>
          <w:szCs w:val="20"/>
        </w:rPr>
      </w:pPr>
    </w:p>
    <w:tbl>
      <w:tblPr>
        <w:tblStyle w:val="ListTable3-Accent2"/>
        <w:tblW w:w="0" w:type="auto"/>
        <w:tblLook w:val="04A0" w:firstRow="1" w:lastRow="0" w:firstColumn="1" w:lastColumn="0" w:noHBand="0" w:noVBand="1"/>
      </w:tblPr>
      <w:tblGrid>
        <w:gridCol w:w="6658"/>
        <w:gridCol w:w="739"/>
        <w:gridCol w:w="2225"/>
      </w:tblGrid>
      <w:tr w:rsidR="008E7042" w:rsidRPr="00A27D83" w14:paraId="0F783501" w14:textId="77777777" w:rsidTr="00553DEE">
        <w:trPr>
          <w:cnfStyle w:val="100000000000" w:firstRow="1" w:lastRow="0" w:firstColumn="0" w:lastColumn="0" w:oddVBand="0" w:evenVBand="0" w:oddHBand="0" w:evenHBand="0" w:firstRowFirstColumn="0" w:firstRowLastColumn="0" w:lastRowFirstColumn="0" w:lastRowLastColumn="0"/>
          <w:trHeight w:val="434"/>
        </w:trPr>
        <w:tc>
          <w:tcPr>
            <w:cnfStyle w:val="001000000100" w:firstRow="0" w:lastRow="0" w:firstColumn="1" w:lastColumn="0" w:oddVBand="0" w:evenVBand="0" w:oddHBand="0" w:evenHBand="0" w:firstRowFirstColumn="1" w:firstRowLastColumn="0" w:lastRowFirstColumn="0" w:lastRowLastColumn="0"/>
            <w:tcW w:w="6658" w:type="dxa"/>
          </w:tcPr>
          <w:p w14:paraId="55890882" w14:textId="5C46AF0C" w:rsidR="008E7042" w:rsidRPr="00A27D83" w:rsidRDefault="008E7042">
            <w:pPr>
              <w:rPr>
                <w:rFonts w:cs="Arial"/>
                <w:caps/>
                <w:sz w:val="20"/>
                <w:szCs w:val="20"/>
              </w:rPr>
            </w:pPr>
            <w:r w:rsidRPr="00A27D83">
              <w:rPr>
                <w:rFonts w:cs="Arial"/>
                <w:caps/>
                <w:sz w:val="20"/>
                <w:szCs w:val="20"/>
              </w:rPr>
              <w:t xml:space="preserve">Miscellaneous </w:t>
            </w:r>
          </w:p>
        </w:tc>
        <w:tc>
          <w:tcPr>
            <w:tcW w:w="2964" w:type="dxa"/>
            <w:gridSpan w:val="2"/>
          </w:tcPr>
          <w:p w14:paraId="05184769" w14:textId="08E21229" w:rsidR="008E7042" w:rsidRPr="00A27D83" w:rsidRDefault="00C924CC" w:rsidP="00C924CC">
            <w:pPr>
              <w:ind w:left="360"/>
              <w:cnfStyle w:val="100000000000" w:firstRow="1" w:lastRow="0" w:firstColumn="0" w:lastColumn="0" w:oddVBand="0" w:evenVBand="0" w:oddHBand="0" w:evenHBand="0" w:firstRowFirstColumn="0" w:firstRowLastColumn="0" w:lastRowFirstColumn="0" w:lastRowLastColumn="0"/>
              <w:rPr>
                <w:rFonts w:cs="Arial"/>
                <w:sz w:val="20"/>
                <w:szCs w:val="20"/>
              </w:rPr>
            </w:pPr>
            <w:r w:rsidRPr="00A27D83">
              <w:rPr>
                <w:rFonts w:cs="Arial"/>
                <w:caps/>
                <w:sz w:val="20"/>
                <w:szCs w:val="20"/>
              </w:rPr>
              <w:t xml:space="preserve">          </w:t>
            </w:r>
            <w:r w:rsidR="008E7042" w:rsidRPr="00A27D83">
              <w:rPr>
                <w:rFonts w:cs="Arial"/>
                <w:caps/>
                <w:sz w:val="20"/>
                <w:szCs w:val="20"/>
              </w:rPr>
              <w:t>LINK</w:t>
            </w:r>
          </w:p>
        </w:tc>
      </w:tr>
      <w:tr w:rsidR="00C814A8" w:rsidRPr="00A27D83" w14:paraId="18B62A43" w14:textId="77777777" w:rsidTr="00553D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7397" w:type="dxa"/>
            <w:gridSpan w:val="2"/>
          </w:tcPr>
          <w:p w14:paraId="602E5596" w14:textId="77777777" w:rsidR="007A0444" w:rsidRDefault="001A195A" w:rsidP="00D26E11">
            <w:pPr>
              <w:pStyle w:val="NoSpacing"/>
              <w:rPr>
                <w:rStyle w:val="Strong"/>
                <w:rFonts w:cs="Arial"/>
                <w:b/>
                <w:bCs/>
                <w:sz w:val="20"/>
                <w:szCs w:val="20"/>
              </w:rPr>
            </w:pPr>
            <w:r w:rsidRPr="001A195A">
              <w:rPr>
                <w:rStyle w:val="Strong"/>
                <w:rFonts w:cs="Arial"/>
                <w:sz w:val="20"/>
                <w:szCs w:val="20"/>
              </w:rPr>
              <w:t>Local Government Pension Scheme</w:t>
            </w:r>
            <w:r w:rsidR="002E77FC">
              <w:rPr>
                <w:rStyle w:val="Strong"/>
                <w:rFonts w:cs="Arial"/>
                <w:sz w:val="20"/>
                <w:szCs w:val="20"/>
              </w:rPr>
              <w:t xml:space="preserve"> </w:t>
            </w:r>
            <w:r w:rsidRPr="001A195A">
              <w:rPr>
                <w:rStyle w:val="Strong"/>
                <w:rFonts w:cs="Arial"/>
                <w:sz w:val="20"/>
                <w:szCs w:val="20"/>
              </w:rPr>
              <w:t>funds are being put at risk by ‘flawed’ advice on the financial impact of climate change, according to a major new study.</w:t>
            </w:r>
            <w:r>
              <w:rPr>
                <w:rStyle w:val="Strong"/>
                <w:rFonts w:cs="Arial"/>
                <w:sz w:val="20"/>
                <w:szCs w:val="20"/>
              </w:rPr>
              <w:t xml:space="preserve"> </w:t>
            </w:r>
            <w:r w:rsidR="002E77FC" w:rsidRPr="002E77FC">
              <w:rPr>
                <w:rStyle w:val="Strong"/>
                <w:rFonts w:cs="Arial"/>
                <w:sz w:val="20"/>
                <w:szCs w:val="20"/>
              </w:rPr>
              <w:t>A report by the think-tank Carbon Tracker</w:t>
            </w:r>
            <w:r w:rsidR="002E77FC">
              <w:rPr>
                <w:rStyle w:val="Strong"/>
                <w:rFonts w:cs="Arial"/>
                <w:sz w:val="20"/>
                <w:szCs w:val="20"/>
              </w:rPr>
              <w:t xml:space="preserve"> </w:t>
            </w:r>
            <w:r w:rsidR="002E77FC" w:rsidRPr="002E77FC">
              <w:rPr>
                <w:rStyle w:val="Strong"/>
                <w:rFonts w:cs="Arial"/>
                <w:sz w:val="20"/>
                <w:szCs w:val="20"/>
              </w:rPr>
              <w:t>suggested many high-profile consultants were underestimating the likely consequences of global warming on pension fund investments.</w:t>
            </w:r>
          </w:p>
          <w:p w14:paraId="733CA075" w14:textId="7A8E0A82" w:rsidR="00017DAB" w:rsidRPr="00A27D83" w:rsidDel="000822E1" w:rsidRDefault="00017DAB" w:rsidP="00D26E11">
            <w:pPr>
              <w:pStyle w:val="NoSpacing"/>
              <w:rPr>
                <w:rStyle w:val="Strong"/>
                <w:rFonts w:cs="Arial"/>
                <w:sz w:val="20"/>
                <w:szCs w:val="20"/>
              </w:rPr>
            </w:pPr>
          </w:p>
        </w:tc>
        <w:tc>
          <w:tcPr>
            <w:tcW w:w="2225" w:type="dxa"/>
          </w:tcPr>
          <w:p w14:paraId="77E49F0A" w14:textId="0990FF15" w:rsidR="00C814A8" w:rsidRPr="00D40098" w:rsidRDefault="00611308" w:rsidP="00835665">
            <w:pPr>
              <w:pStyle w:val="NoSpacing"/>
              <w:cnfStyle w:val="000000100000" w:firstRow="0" w:lastRow="0" w:firstColumn="0" w:lastColumn="0" w:oddVBand="0" w:evenVBand="0" w:oddHBand="1" w:evenHBand="0" w:firstRowFirstColumn="0" w:firstRowLastColumn="0" w:lastRowFirstColumn="0" w:lastRowLastColumn="0"/>
              <w:rPr>
                <w:rFonts w:cs="Arial"/>
                <w:sz w:val="20"/>
                <w:szCs w:val="20"/>
              </w:rPr>
            </w:pPr>
            <w:hyperlink r:id="rId30" w:history="1">
              <w:r w:rsidR="00ED20E4">
                <w:rPr>
                  <w:rStyle w:val="Hyperlink"/>
                  <w:rFonts w:cs="Arial"/>
                  <w:sz w:val="20"/>
                  <w:szCs w:val="20"/>
                </w:rPr>
                <w:t>LocalGov</w:t>
              </w:r>
            </w:hyperlink>
          </w:p>
        </w:tc>
      </w:tr>
      <w:tr w:rsidR="00B60FE4" w:rsidRPr="00A27D83" w14:paraId="266D6CAA" w14:textId="77777777" w:rsidTr="00553DEE">
        <w:trPr>
          <w:trHeight w:val="367"/>
        </w:trPr>
        <w:tc>
          <w:tcPr>
            <w:cnfStyle w:val="001000000000" w:firstRow="0" w:lastRow="0" w:firstColumn="1" w:lastColumn="0" w:oddVBand="0" w:evenVBand="0" w:oddHBand="0" w:evenHBand="0" w:firstRowFirstColumn="0" w:firstRowLastColumn="0" w:lastRowFirstColumn="0" w:lastRowLastColumn="0"/>
            <w:tcW w:w="7397" w:type="dxa"/>
            <w:gridSpan w:val="2"/>
          </w:tcPr>
          <w:p w14:paraId="52D6FEC7" w14:textId="77777777" w:rsidR="0096334D" w:rsidRDefault="008C07E4" w:rsidP="00E11A65">
            <w:pPr>
              <w:pStyle w:val="NoSpacing"/>
              <w:rPr>
                <w:rStyle w:val="Strong"/>
                <w:rFonts w:cs="Arial"/>
                <w:b/>
                <w:bCs/>
                <w:iCs/>
                <w:sz w:val="20"/>
                <w:szCs w:val="20"/>
              </w:rPr>
            </w:pPr>
            <w:r w:rsidRPr="008C07E4">
              <w:rPr>
                <w:rStyle w:val="Strong"/>
                <w:rFonts w:cs="Arial"/>
                <w:iCs/>
                <w:sz w:val="20"/>
                <w:szCs w:val="20"/>
              </w:rPr>
              <w:t>Tata Group has announced that it will invest over £4 billion in a new UK gigafactory which will create thousands of jobs.</w:t>
            </w:r>
            <w:r w:rsidR="00844F0F">
              <w:rPr>
                <w:rStyle w:val="Strong"/>
                <w:rFonts w:cs="Arial"/>
                <w:iCs/>
                <w:sz w:val="20"/>
                <w:szCs w:val="20"/>
              </w:rPr>
              <w:t xml:space="preserve"> </w:t>
            </w:r>
            <w:r w:rsidR="000266E2">
              <w:rPr>
                <w:rStyle w:val="Strong"/>
                <w:rFonts w:cs="Arial"/>
                <w:iCs/>
                <w:sz w:val="20"/>
                <w:szCs w:val="20"/>
              </w:rPr>
              <w:t xml:space="preserve">The </w:t>
            </w:r>
            <w:r w:rsidR="000266E2" w:rsidRPr="000266E2">
              <w:rPr>
                <w:rStyle w:val="Strong"/>
                <w:rFonts w:cs="Arial"/>
                <w:iCs/>
                <w:sz w:val="20"/>
                <w:szCs w:val="20"/>
              </w:rPr>
              <w:t xml:space="preserve">new multibillion-pound electric car battery factory to be built in the UK </w:t>
            </w:r>
            <w:r w:rsidR="000266E2">
              <w:rPr>
                <w:rStyle w:val="Strong"/>
                <w:rFonts w:cs="Arial"/>
                <w:iCs/>
                <w:sz w:val="20"/>
                <w:szCs w:val="20"/>
              </w:rPr>
              <w:t xml:space="preserve">is </w:t>
            </w:r>
            <w:r w:rsidR="000266E2" w:rsidRPr="000266E2">
              <w:rPr>
                <w:rStyle w:val="Strong"/>
                <w:rFonts w:cs="Arial"/>
                <w:iCs/>
                <w:sz w:val="20"/>
                <w:szCs w:val="20"/>
              </w:rPr>
              <w:t>one of the largest ever investments in the UK automotive sector.</w:t>
            </w:r>
          </w:p>
          <w:p w14:paraId="5FF75C08" w14:textId="5B579ABA" w:rsidR="00017DAB" w:rsidRPr="00A27D83" w:rsidRDefault="00017DAB" w:rsidP="00E11A65">
            <w:pPr>
              <w:pStyle w:val="NoSpacing"/>
              <w:rPr>
                <w:rStyle w:val="Strong"/>
                <w:rFonts w:cs="Arial"/>
                <w:iCs/>
                <w:sz w:val="20"/>
                <w:szCs w:val="20"/>
              </w:rPr>
            </w:pPr>
          </w:p>
        </w:tc>
        <w:tc>
          <w:tcPr>
            <w:tcW w:w="2225" w:type="dxa"/>
          </w:tcPr>
          <w:p w14:paraId="2F929BBD" w14:textId="12F569E2" w:rsidR="00B60FE4" w:rsidRPr="00A27D83" w:rsidRDefault="00611308" w:rsidP="00A04A69">
            <w:pPr>
              <w:cnfStyle w:val="000000000000" w:firstRow="0" w:lastRow="0" w:firstColumn="0" w:lastColumn="0" w:oddVBand="0" w:evenVBand="0" w:oddHBand="0" w:evenHBand="0" w:firstRowFirstColumn="0" w:firstRowLastColumn="0" w:lastRowFirstColumn="0" w:lastRowLastColumn="0"/>
              <w:rPr>
                <w:rFonts w:cs="Arial"/>
                <w:sz w:val="20"/>
                <w:szCs w:val="20"/>
              </w:rPr>
            </w:pPr>
            <w:hyperlink r:id="rId31" w:history="1">
              <w:r w:rsidR="00772256">
                <w:rPr>
                  <w:rStyle w:val="Hyperlink"/>
                  <w:rFonts w:cs="Arial"/>
                  <w:sz w:val="20"/>
                  <w:szCs w:val="20"/>
                </w:rPr>
                <w:t>DBT</w:t>
              </w:r>
            </w:hyperlink>
          </w:p>
        </w:tc>
      </w:tr>
      <w:tr w:rsidR="00FD1591" w:rsidRPr="00A27D83" w14:paraId="75DBE409" w14:textId="77777777" w:rsidTr="00553DE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7397" w:type="dxa"/>
            <w:gridSpan w:val="2"/>
          </w:tcPr>
          <w:p w14:paraId="13F824D7" w14:textId="75531FD2" w:rsidR="00FD1591" w:rsidRDefault="00FD1591" w:rsidP="00E11A65">
            <w:pPr>
              <w:pStyle w:val="NoSpacing"/>
              <w:rPr>
                <w:rStyle w:val="Strong"/>
                <w:rFonts w:cs="Arial"/>
                <w:b/>
                <w:bCs/>
                <w:iCs/>
                <w:sz w:val="20"/>
                <w:szCs w:val="20"/>
              </w:rPr>
            </w:pPr>
            <w:r>
              <w:rPr>
                <w:rStyle w:val="Strong"/>
                <w:rFonts w:cs="Arial"/>
                <w:iCs/>
                <w:sz w:val="20"/>
                <w:szCs w:val="20"/>
              </w:rPr>
              <w:t>U</w:t>
            </w:r>
            <w:r w:rsidRPr="00FD1591">
              <w:rPr>
                <w:rStyle w:val="Strong"/>
                <w:rFonts w:cs="Arial"/>
                <w:iCs/>
                <w:sz w:val="20"/>
                <w:szCs w:val="20"/>
              </w:rPr>
              <w:t>K Research and Innovation (UKRI) has awarded</w:t>
            </w:r>
            <w:r w:rsidR="00FC0180">
              <w:rPr>
                <w:rStyle w:val="Strong"/>
                <w:rFonts w:cs="Arial"/>
                <w:iCs/>
                <w:sz w:val="20"/>
                <w:szCs w:val="20"/>
              </w:rPr>
              <w:t xml:space="preserve"> </w:t>
            </w:r>
            <w:r w:rsidR="00FC0180" w:rsidRPr="00FC0180">
              <w:rPr>
                <w:rStyle w:val="Strong"/>
                <w:rFonts w:cs="Arial"/>
                <w:iCs/>
                <w:sz w:val="20"/>
                <w:szCs w:val="20"/>
              </w:rPr>
              <w:t>£53 million in six research hubs and centres</w:t>
            </w:r>
            <w:r w:rsidR="00C82194">
              <w:rPr>
                <w:rStyle w:val="Strong"/>
                <w:rFonts w:cs="Arial"/>
                <w:iCs/>
                <w:sz w:val="20"/>
                <w:szCs w:val="20"/>
              </w:rPr>
              <w:t xml:space="preserve"> </w:t>
            </w:r>
            <w:r w:rsidR="006B1591" w:rsidRPr="006B1591">
              <w:rPr>
                <w:rStyle w:val="Strong"/>
                <w:rFonts w:cs="Arial"/>
                <w:iCs/>
                <w:sz w:val="20"/>
                <w:szCs w:val="20"/>
              </w:rPr>
              <w:t>to</w:t>
            </w:r>
            <w:r w:rsidR="006B1591">
              <w:rPr>
                <w:rStyle w:val="Strong"/>
                <w:rFonts w:cs="Arial"/>
                <w:iCs/>
                <w:szCs w:val="20"/>
              </w:rPr>
              <w:t xml:space="preserve"> </w:t>
            </w:r>
            <w:r w:rsidR="00FC0180" w:rsidRPr="00FC0180">
              <w:rPr>
                <w:rStyle w:val="Strong"/>
                <w:rFonts w:cs="Arial"/>
                <w:iCs/>
                <w:sz w:val="20"/>
                <w:szCs w:val="20"/>
              </w:rPr>
              <w:t>will drive forward change in the energy system.</w:t>
            </w:r>
            <w:r>
              <w:rPr>
                <w:rStyle w:val="Strong"/>
                <w:rFonts w:cs="Arial"/>
                <w:iCs/>
                <w:sz w:val="20"/>
                <w:szCs w:val="20"/>
              </w:rPr>
              <w:t xml:space="preserve"> </w:t>
            </w:r>
          </w:p>
          <w:p w14:paraId="44EBB99A" w14:textId="4309BCA2" w:rsidR="00017DAB" w:rsidRPr="008C07E4" w:rsidRDefault="00017DAB" w:rsidP="00E11A65">
            <w:pPr>
              <w:pStyle w:val="NoSpacing"/>
              <w:rPr>
                <w:rStyle w:val="Strong"/>
                <w:rFonts w:cs="Arial"/>
                <w:iCs/>
                <w:sz w:val="20"/>
                <w:szCs w:val="20"/>
              </w:rPr>
            </w:pPr>
          </w:p>
        </w:tc>
        <w:tc>
          <w:tcPr>
            <w:tcW w:w="2225" w:type="dxa"/>
          </w:tcPr>
          <w:p w14:paraId="223C141A" w14:textId="30985747" w:rsidR="00FD1591" w:rsidRPr="00772256" w:rsidRDefault="00611308" w:rsidP="00A04A69">
            <w:pPr>
              <w:cnfStyle w:val="000000100000" w:firstRow="0" w:lastRow="0" w:firstColumn="0" w:lastColumn="0" w:oddVBand="0" w:evenVBand="0" w:oddHBand="1" w:evenHBand="0" w:firstRowFirstColumn="0" w:firstRowLastColumn="0" w:lastRowFirstColumn="0" w:lastRowLastColumn="0"/>
              <w:rPr>
                <w:rFonts w:cs="Arial"/>
                <w:sz w:val="20"/>
                <w:szCs w:val="20"/>
              </w:rPr>
            </w:pPr>
            <w:hyperlink r:id="rId32" w:history="1">
              <w:r w:rsidR="00C82194">
                <w:rPr>
                  <w:rStyle w:val="Hyperlink"/>
                  <w:rFonts w:cs="Arial"/>
                  <w:sz w:val="20"/>
                  <w:szCs w:val="20"/>
                </w:rPr>
                <w:t>UKRI</w:t>
              </w:r>
            </w:hyperlink>
          </w:p>
        </w:tc>
      </w:tr>
      <w:tr w:rsidR="00111D18" w:rsidRPr="00A27D83" w14:paraId="2CA6D83B" w14:textId="77777777" w:rsidTr="00553DEE">
        <w:trPr>
          <w:trHeight w:val="367"/>
        </w:trPr>
        <w:tc>
          <w:tcPr>
            <w:cnfStyle w:val="001000000000" w:firstRow="0" w:lastRow="0" w:firstColumn="1" w:lastColumn="0" w:oddVBand="0" w:evenVBand="0" w:oddHBand="0" w:evenHBand="0" w:firstRowFirstColumn="0" w:firstRowLastColumn="0" w:lastRowFirstColumn="0" w:lastRowLastColumn="0"/>
            <w:tcW w:w="7397" w:type="dxa"/>
            <w:gridSpan w:val="2"/>
          </w:tcPr>
          <w:p w14:paraId="6179CBE7" w14:textId="77777777" w:rsidR="00111D18" w:rsidRDefault="003664C9" w:rsidP="00E11A65">
            <w:pPr>
              <w:pStyle w:val="NoSpacing"/>
              <w:rPr>
                <w:rFonts w:cs="Arial"/>
                <w:iCs/>
                <w:sz w:val="20"/>
                <w:szCs w:val="20"/>
              </w:rPr>
            </w:pPr>
            <w:r w:rsidRPr="003664C9">
              <w:rPr>
                <w:rFonts w:cs="Arial"/>
                <w:b w:val="0"/>
                <w:bCs w:val="0"/>
                <w:iCs/>
                <w:sz w:val="20"/>
                <w:szCs w:val="20"/>
              </w:rPr>
              <w:t>Northern Powergrid has teamed up with energy and technology company Octopus Energy to provide household flexibility through electric vehicle (EV) charging and storage.</w:t>
            </w:r>
            <w:r>
              <w:rPr>
                <w:rFonts w:cs="Arial"/>
                <w:b w:val="0"/>
                <w:bCs w:val="0"/>
                <w:iCs/>
                <w:sz w:val="20"/>
                <w:szCs w:val="20"/>
              </w:rPr>
              <w:t xml:space="preserve"> </w:t>
            </w:r>
            <w:r w:rsidR="00CE4579" w:rsidRPr="00CE4579">
              <w:rPr>
                <w:rFonts w:cs="Arial"/>
                <w:b w:val="0"/>
                <w:bCs w:val="0"/>
                <w:iCs/>
                <w:sz w:val="20"/>
                <w:szCs w:val="20"/>
              </w:rPr>
              <w:t>Demand response allows participating customers to reduce power consumption or increase power supply to the network in exchange for savings, in turn freeing up electricity network capacity at times of peak demand.</w:t>
            </w:r>
            <w:r w:rsidR="00CE4579">
              <w:rPr>
                <w:rFonts w:cs="Arial"/>
                <w:b w:val="0"/>
                <w:bCs w:val="0"/>
                <w:iCs/>
                <w:sz w:val="20"/>
                <w:szCs w:val="20"/>
              </w:rPr>
              <w:t xml:space="preserve"> </w:t>
            </w:r>
          </w:p>
          <w:p w14:paraId="5D70D2C8" w14:textId="1D6EA953" w:rsidR="00017DAB" w:rsidRDefault="00017DAB" w:rsidP="00E11A65">
            <w:pPr>
              <w:pStyle w:val="NoSpacing"/>
              <w:rPr>
                <w:rStyle w:val="Strong"/>
                <w:rFonts w:cs="Arial"/>
                <w:iCs/>
                <w:sz w:val="20"/>
                <w:szCs w:val="20"/>
              </w:rPr>
            </w:pPr>
          </w:p>
        </w:tc>
        <w:tc>
          <w:tcPr>
            <w:tcW w:w="2225" w:type="dxa"/>
          </w:tcPr>
          <w:p w14:paraId="4C53245D" w14:textId="2CF0B942" w:rsidR="00111D18" w:rsidRPr="00C82194" w:rsidRDefault="00611308" w:rsidP="00A04A69">
            <w:pPr>
              <w:cnfStyle w:val="000000000000" w:firstRow="0" w:lastRow="0" w:firstColumn="0" w:lastColumn="0" w:oddVBand="0" w:evenVBand="0" w:oddHBand="0" w:evenHBand="0" w:firstRowFirstColumn="0" w:firstRowLastColumn="0" w:lastRowFirstColumn="0" w:lastRowLastColumn="0"/>
              <w:rPr>
                <w:rFonts w:cs="Arial"/>
                <w:sz w:val="20"/>
                <w:szCs w:val="20"/>
              </w:rPr>
            </w:pPr>
            <w:hyperlink r:id="rId33" w:history="1">
              <w:r w:rsidR="00CE4579">
                <w:rPr>
                  <w:rStyle w:val="Hyperlink"/>
                  <w:rFonts w:cs="Arial"/>
                  <w:sz w:val="20"/>
                  <w:szCs w:val="20"/>
                </w:rPr>
                <w:t>Northern Powergrid</w:t>
              </w:r>
            </w:hyperlink>
          </w:p>
        </w:tc>
      </w:tr>
    </w:tbl>
    <w:p w14:paraId="332FE504" w14:textId="77777777" w:rsidR="0051018E" w:rsidRDefault="0051018E" w:rsidP="00046EC9">
      <w:pPr>
        <w:tabs>
          <w:tab w:val="clear" w:pos="284"/>
        </w:tabs>
        <w:spacing w:after="0" w:line="240" w:lineRule="auto"/>
        <w:rPr>
          <w:rFonts w:cs="Arial"/>
          <w:sz w:val="20"/>
          <w:szCs w:val="20"/>
        </w:rPr>
      </w:pPr>
    </w:p>
    <w:p w14:paraId="2EA51CFE" w14:textId="51EE0483" w:rsidR="006F165F" w:rsidRPr="00A27D83" w:rsidRDefault="0051018E" w:rsidP="00046EC9">
      <w:pPr>
        <w:tabs>
          <w:tab w:val="clear" w:pos="284"/>
        </w:tabs>
        <w:spacing w:after="0" w:line="240" w:lineRule="auto"/>
        <w:rPr>
          <w:rFonts w:cs="Arial"/>
          <w:sz w:val="20"/>
          <w:szCs w:val="20"/>
        </w:rPr>
      </w:pPr>
      <w:r>
        <w:rPr>
          <w:rFonts w:cs="Arial"/>
          <w:sz w:val="20"/>
          <w:szCs w:val="20"/>
        </w:rPr>
        <w:t>T</w:t>
      </w:r>
      <w:r w:rsidR="006F165F" w:rsidRPr="00A27D83">
        <w:rPr>
          <w:rFonts w:cs="Arial"/>
          <w:sz w:val="20"/>
          <w:szCs w:val="20"/>
        </w:rPr>
        <w:t>o find out about upcoming events relevant to Net Zero, please check</w:t>
      </w:r>
      <w:r w:rsidR="00332F53" w:rsidRPr="00A27D83">
        <w:rPr>
          <w:rFonts w:cs="Arial"/>
          <w:sz w:val="20"/>
          <w:szCs w:val="20"/>
        </w:rPr>
        <w:t xml:space="preserve"> out</w:t>
      </w:r>
      <w:r w:rsidR="006F165F" w:rsidRPr="00A27D83">
        <w:rPr>
          <w:rFonts w:cs="Arial"/>
          <w:sz w:val="20"/>
          <w:szCs w:val="20"/>
        </w:rPr>
        <w:t xml:space="preserve"> our website </w:t>
      </w:r>
      <w:r w:rsidR="00796C5C" w:rsidRPr="00A27D83">
        <w:rPr>
          <w:rFonts w:cs="Arial"/>
          <w:sz w:val="20"/>
          <w:szCs w:val="20"/>
        </w:rPr>
        <w:t xml:space="preserve">events </w:t>
      </w:r>
      <w:r w:rsidR="006F165F" w:rsidRPr="00A27D83">
        <w:rPr>
          <w:rFonts w:cs="Arial"/>
          <w:sz w:val="20"/>
          <w:szCs w:val="20"/>
        </w:rPr>
        <w:t xml:space="preserve">page </w:t>
      </w:r>
      <w:hyperlink r:id="rId34" w:history="1">
        <w:r w:rsidR="006F165F" w:rsidRPr="00A27D83">
          <w:rPr>
            <w:rStyle w:val="Hyperlink"/>
            <w:rFonts w:cs="Arial"/>
            <w:sz w:val="20"/>
            <w:szCs w:val="20"/>
          </w:rPr>
          <w:t>here</w:t>
        </w:r>
      </w:hyperlink>
      <w:r w:rsidR="006F165F" w:rsidRPr="00A27D83">
        <w:rPr>
          <w:rFonts w:cs="Arial"/>
          <w:sz w:val="20"/>
          <w:szCs w:val="20"/>
        </w:rPr>
        <w:t>.</w:t>
      </w:r>
    </w:p>
    <w:sectPr w:rsidR="006F165F" w:rsidRPr="00A27D83" w:rsidSect="00B469CB">
      <w:footerReference w:type="default" r:id="rId35"/>
      <w:pgSz w:w="11900" w:h="16840"/>
      <w:pgMar w:top="1134"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3122" w14:textId="77777777" w:rsidR="00DA1254" w:rsidRDefault="00DA1254" w:rsidP="00F810CD">
      <w:pPr>
        <w:spacing w:after="0" w:line="240" w:lineRule="auto"/>
      </w:pPr>
      <w:r>
        <w:separator/>
      </w:r>
    </w:p>
  </w:endnote>
  <w:endnote w:type="continuationSeparator" w:id="0">
    <w:p w14:paraId="67FEF0FF" w14:textId="77777777" w:rsidR="00DA1254" w:rsidRDefault="00DA1254" w:rsidP="00F810CD">
      <w:pPr>
        <w:spacing w:after="0" w:line="240" w:lineRule="auto"/>
      </w:pPr>
      <w:r>
        <w:continuationSeparator/>
      </w:r>
    </w:p>
  </w:endnote>
  <w:endnote w:type="continuationNotice" w:id="1">
    <w:p w14:paraId="03B34877" w14:textId="77777777" w:rsidR="00DA1254" w:rsidRDefault="00DA1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A58C" w14:textId="2CF96345" w:rsidR="00F810CD" w:rsidRPr="00EE1744" w:rsidRDefault="00D74847" w:rsidP="00EE1744">
    <w:pPr>
      <w:pStyle w:val="Footer"/>
      <w:tabs>
        <w:tab w:val="clear" w:pos="4680"/>
        <w:tab w:val="clear" w:pos="9360"/>
        <w:tab w:val="clear" w:pos="9639"/>
        <w:tab w:val="left" w:pos="851"/>
        <w:tab w:val="right" w:pos="9632"/>
      </w:tabs>
    </w:pPr>
    <w:r>
      <w:rPr>
        <w:noProof/>
      </w:rPr>
      <w:drawing>
        <wp:anchor distT="0" distB="0" distL="114300" distR="114300" simplePos="0" relativeHeight="251658240" behindDoc="0" locked="0" layoutInCell="1" allowOverlap="1" wp14:anchorId="34D384A6" wp14:editId="7D40074B">
          <wp:simplePos x="0" y="0"/>
          <wp:positionH relativeFrom="column">
            <wp:posOffset>-120015</wp:posOffset>
          </wp:positionH>
          <wp:positionV relativeFrom="paragraph">
            <wp:posOffset>-205740</wp:posOffset>
          </wp:positionV>
          <wp:extent cx="2053921" cy="326273"/>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053921" cy="326273"/>
                  </a:xfrm>
                  <a:prstGeom prst="rect">
                    <a:avLst/>
                  </a:prstGeom>
                </pic:spPr>
              </pic:pic>
            </a:graphicData>
          </a:graphic>
          <wp14:sizeRelH relativeFrom="page">
            <wp14:pctWidth>0</wp14:pctWidth>
          </wp14:sizeRelH>
          <wp14:sizeRelV relativeFrom="page">
            <wp14:pctHeight>0</wp14:pctHeight>
          </wp14:sizeRelV>
        </wp:anchor>
      </w:drawing>
    </w:r>
    <w:r>
      <w:tab/>
    </w:r>
    <w:r w:rsidR="00EE1744" w:rsidRPr="00EE1744">
      <w:tab/>
    </w:r>
    <w:r w:rsidR="00EE1744" w:rsidRPr="00EE1744">
      <w:fldChar w:fldCharType="begin"/>
    </w:r>
    <w:r w:rsidR="00EE1744" w:rsidRPr="00EE1744">
      <w:instrText xml:space="preserve"> PAGE </w:instrText>
    </w:r>
    <w:r w:rsidR="00EE1744" w:rsidRPr="00EE1744">
      <w:fldChar w:fldCharType="separate"/>
    </w:r>
    <w:r w:rsidR="00EE1744" w:rsidRPr="00EE1744">
      <w:t>2</w:t>
    </w:r>
    <w:r w:rsidR="00EE1744" w:rsidRPr="00EE1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8667" w14:textId="77777777" w:rsidR="00DA1254" w:rsidRDefault="00DA1254" w:rsidP="00F810CD">
      <w:pPr>
        <w:spacing w:after="0" w:line="240" w:lineRule="auto"/>
      </w:pPr>
      <w:r>
        <w:separator/>
      </w:r>
    </w:p>
  </w:footnote>
  <w:footnote w:type="continuationSeparator" w:id="0">
    <w:p w14:paraId="7D3D7E18" w14:textId="77777777" w:rsidR="00DA1254" w:rsidRDefault="00DA1254" w:rsidP="00F810CD">
      <w:pPr>
        <w:spacing w:after="0" w:line="240" w:lineRule="auto"/>
      </w:pPr>
      <w:r>
        <w:continuationSeparator/>
      </w:r>
    </w:p>
  </w:footnote>
  <w:footnote w:type="continuationNotice" w:id="1">
    <w:p w14:paraId="2506CA9F" w14:textId="77777777" w:rsidR="00DA1254" w:rsidRDefault="00DA125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125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60701"/>
    <w:multiLevelType w:val="hybridMultilevel"/>
    <w:tmpl w:val="93E2EB2E"/>
    <w:lvl w:ilvl="0" w:tplc="08090001">
      <w:start w:val="1"/>
      <w:numFmt w:val="bullet"/>
      <w:lvlText w:val=""/>
      <w:lvlJc w:val="left"/>
      <w:pPr>
        <w:ind w:left="720" w:hanging="360"/>
      </w:pPr>
      <w:rPr>
        <w:rFonts w:ascii="Symbol" w:hAnsi="Symbol" w:hint="default"/>
      </w:rPr>
    </w:lvl>
    <w:lvl w:ilvl="1" w:tplc="CA0A91C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0985"/>
    <w:multiLevelType w:val="hybridMultilevel"/>
    <w:tmpl w:val="859C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73F1C"/>
    <w:multiLevelType w:val="hybridMultilevel"/>
    <w:tmpl w:val="9390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C0613"/>
    <w:multiLevelType w:val="hybridMultilevel"/>
    <w:tmpl w:val="58D6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364A3"/>
    <w:multiLevelType w:val="hybridMultilevel"/>
    <w:tmpl w:val="033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F2516"/>
    <w:multiLevelType w:val="hybridMultilevel"/>
    <w:tmpl w:val="0EFE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5203">
    <w:abstractNumId w:val="0"/>
  </w:num>
  <w:num w:numId="2" w16cid:durableId="961182648">
    <w:abstractNumId w:val="2"/>
  </w:num>
  <w:num w:numId="3" w16cid:durableId="1646813881">
    <w:abstractNumId w:val="3"/>
  </w:num>
  <w:num w:numId="4" w16cid:durableId="508561712">
    <w:abstractNumId w:val="6"/>
  </w:num>
  <w:num w:numId="5" w16cid:durableId="277611409">
    <w:abstractNumId w:val="1"/>
  </w:num>
  <w:num w:numId="6" w16cid:durableId="539515430">
    <w:abstractNumId w:val="4"/>
  </w:num>
  <w:num w:numId="7" w16cid:durableId="9879419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82"/>
    <w:rsid w:val="00002545"/>
    <w:rsid w:val="000035DA"/>
    <w:rsid w:val="00004610"/>
    <w:rsid w:val="00004902"/>
    <w:rsid w:val="000107F3"/>
    <w:rsid w:val="00012196"/>
    <w:rsid w:val="00012E30"/>
    <w:rsid w:val="00013ECB"/>
    <w:rsid w:val="00014D97"/>
    <w:rsid w:val="00015E47"/>
    <w:rsid w:val="00017DAB"/>
    <w:rsid w:val="00017F61"/>
    <w:rsid w:val="00021878"/>
    <w:rsid w:val="00022235"/>
    <w:rsid w:val="000229F9"/>
    <w:rsid w:val="00024871"/>
    <w:rsid w:val="00024AB3"/>
    <w:rsid w:val="000252FB"/>
    <w:rsid w:val="000266E2"/>
    <w:rsid w:val="00031145"/>
    <w:rsid w:val="00031C9B"/>
    <w:rsid w:val="00032F8B"/>
    <w:rsid w:val="00033672"/>
    <w:rsid w:val="00036543"/>
    <w:rsid w:val="00037B36"/>
    <w:rsid w:val="00041898"/>
    <w:rsid w:val="00045A26"/>
    <w:rsid w:val="00045B7A"/>
    <w:rsid w:val="0004623B"/>
    <w:rsid w:val="00046EC9"/>
    <w:rsid w:val="00050200"/>
    <w:rsid w:val="00051AAB"/>
    <w:rsid w:val="00054023"/>
    <w:rsid w:val="0005623F"/>
    <w:rsid w:val="00063807"/>
    <w:rsid w:val="00063F96"/>
    <w:rsid w:val="00070B64"/>
    <w:rsid w:val="00070E8A"/>
    <w:rsid w:val="00074CF5"/>
    <w:rsid w:val="000754DE"/>
    <w:rsid w:val="00081034"/>
    <w:rsid w:val="000822E1"/>
    <w:rsid w:val="00083F0E"/>
    <w:rsid w:val="0008479D"/>
    <w:rsid w:val="00084A13"/>
    <w:rsid w:val="00084ACA"/>
    <w:rsid w:val="00087BAA"/>
    <w:rsid w:val="000909D3"/>
    <w:rsid w:val="00090DA1"/>
    <w:rsid w:val="00091EB8"/>
    <w:rsid w:val="00095E2B"/>
    <w:rsid w:val="0009734A"/>
    <w:rsid w:val="00097EA1"/>
    <w:rsid w:val="000A0B44"/>
    <w:rsid w:val="000A32E9"/>
    <w:rsid w:val="000A620F"/>
    <w:rsid w:val="000A6666"/>
    <w:rsid w:val="000A667F"/>
    <w:rsid w:val="000A6AF2"/>
    <w:rsid w:val="000A73AB"/>
    <w:rsid w:val="000B143C"/>
    <w:rsid w:val="000B1BF6"/>
    <w:rsid w:val="000B5074"/>
    <w:rsid w:val="000B536E"/>
    <w:rsid w:val="000B679E"/>
    <w:rsid w:val="000C0B24"/>
    <w:rsid w:val="000C1364"/>
    <w:rsid w:val="000C1DEB"/>
    <w:rsid w:val="000C2162"/>
    <w:rsid w:val="000C3281"/>
    <w:rsid w:val="000C33FF"/>
    <w:rsid w:val="000C38C1"/>
    <w:rsid w:val="000C3B32"/>
    <w:rsid w:val="000C5A95"/>
    <w:rsid w:val="000C6006"/>
    <w:rsid w:val="000C602E"/>
    <w:rsid w:val="000C62AD"/>
    <w:rsid w:val="000C74B1"/>
    <w:rsid w:val="000C7969"/>
    <w:rsid w:val="000D06A7"/>
    <w:rsid w:val="000D1893"/>
    <w:rsid w:val="000D1D88"/>
    <w:rsid w:val="000D2CD9"/>
    <w:rsid w:val="000D59CF"/>
    <w:rsid w:val="000D6E88"/>
    <w:rsid w:val="000E0E58"/>
    <w:rsid w:val="000E21B8"/>
    <w:rsid w:val="000E226B"/>
    <w:rsid w:val="000E2BA0"/>
    <w:rsid w:val="000E301B"/>
    <w:rsid w:val="000E58D1"/>
    <w:rsid w:val="000E5CCA"/>
    <w:rsid w:val="000E72D6"/>
    <w:rsid w:val="000E7B95"/>
    <w:rsid w:val="000F182E"/>
    <w:rsid w:val="000F2C7C"/>
    <w:rsid w:val="000F51AE"/>
    <w:rsid w:val="000F7542"/>
    <w:rsid w:val="00100FEE"/>
    <w:rsid w:val="00102BAD"/>
    <w:rsid w:val="00103A9D"/>
    <w:rsid w:val="00104D33"/>
    <w:rsid w:val="00111D18"/>
    <w:rsid w:val="0011325E"/>
    <w:rsid w:val="00115B65"/>
    <w:rsid w:val="00117DC4"/>
    <w:rsid w:val="00120F37"/>
    <w:rsid w:val="00122ECE"/>
    <w:rsid w:val="001236EA"/>
    <w:rsid w:val="00124E98"/>
    <w:rsid w:val="00127852"/>
    <w:rsid w:val="00130FCD"/>
    <w:rsid w:val="00131A57"/>
    <w:rsid w:val="00132658"/>
    <w:rsid w:val="00133B75"/>
    <w:rsid w:val="00133D73"/>
    <w:rsid w:val="00133ED2"/>
    <w:rsid w:val="001344B5"/>
    <w:rsid w:val="0013564D"/>
    <w:rsid w:val="001377BD"/>
    <w:rsid w:val="00137F1A"/>
    <w:rsid w:val="00137FB3"/>
    <w:rsid w:val="00141A14"/>
    <w:rsid w:val="00142F4F"/>
    <w:rsid w:val="0014423A"/>
    <w:rsid w:val="00146758"/>
    <w:rsid w:val="0015280B"/>
    <w:rsid w:val="00153A8D"/>
    <w:rsid w:val="00153E0A"/>
    <w:rsid w:val="00153F82"/>
    <w:rsid w:val="00156E9E"/>
    <w:rsid w:val="001575A9"/>
    <w:rsid w:val="0015787A"/>
    <w:rsid w:val="00157AF6"/>
    <w:rsid w:val="00160EB3"/>
    <w:rsid w:val="00161BCB"/>
    <w:rsid w:val="0016465F"/>
    <w:rsid w:val="00165008"/>
    <w:rsid w:val="0016560A"/>
    <w:rsid w:val="00165A3A"/>
    <w:rsid w:val="00165B14"/>
    <w:rsid w:val="00167B21"/>
    <w:rsid w:val="00167B9F"/>
    <w:rsid w:val="00171359"/>
    <w:rsid w:val="001713A0"/>
    <w:rsid w:val="0017142F"/>
    <w:rsid w:val="00172E25"/>
    <w:rsid w:val="0017358D"/>
    <w:rsid w:val="00175C82"/>
    <w:rsid w:val="00181210"/>
    <w:rsid w:val="00181D84"/>
    <w:rsid w:val="00181ED5"/>
    <w:rsid w:val="001838D8"/>
    <w:rsid w:val="00186C68"/>
    <w:rsid w:val="001873C0"/>
    <w:rsid w:val="00191398"/>
    <w:rsid w:val="0019139C"/>
    <w:rsid w:val="0019185F"/>
    <w:rsid w:val="0019284C"/>
    <w:rsid w:val="00194748"/>
    <w:rsid w:val="00194C2C"/>
    <w:rsid w:val="001A0CCF"/>
    <w:rsid w:val="001A173A"/>
    <w:rsid w:val="001A195A"/>
    <w:rsid w:val="001A32B2"/>
    <w:rsid w:val="001A3DA8"/>
    <w:rsid w:val="001A414C"/>
    <w:rsid w:val="001A4659"/>
    <w:rsid w:val="001A4A59"/>
    <w:rsid w:val="001A51E3"/>
    <w:rsid w:val="001A5B51"/>
    <w:rsid w:val="001A5D8E"/>
    <w:rsid w:val="001A69A1"/>
    <w:rsid w:val="001A7A31"/>
    <w:rsid w:val="001B0532"/>
    <w:rsid w:val="001B4323"/>
    <w:rsid w:val="001B4832"/>
    <w:rsid w:val="001B4EEF"/>
    <w:rsid w:val="001B7E04"/>
    <w:rsid w:val="001C2A9B"/>
    <w:rsid w:val="001C2B6B"/>
    <w:rsid w:val="001C57AF"/>
    <w:rsid w:val="001D2E6F"/>
    <w:rsid w:val="001D3621"/>
    <w:rsid w:val="001D36C6"/>
    <w:rsid w:val="001D45E0"/>
    <w:rsid w:val="001D5D04"/>
    <w:rsid w:val="001D6394"/>
    <w:rsid w:val="001D6975"/>
    <w:rsid w:val="001E00C4"/>
    <w:rsid w:val="001E1446"/>
    <w:rsid w:val="001E1DBA"/>
    <w:rsid w:val="001E2CF6"/>
    <w:rsid w:val="001E314F"/>
    <w:rsid w:val="001E5C77"/>
    <w:rsid w:val="001F3000"/>
    <w:rsid w:val="001F303C"/>
    <w:rsid w:val="001F3103"/>
    <w:rsid w:val="001F36D9"/>
    <w:rsid w:val="001F407F"/>
    <w:rsid w:val="001F6D42"/>
    <w:rsid w:val="001F7093"/>
    <w:rsid w:val="001F7777"/>
    <w:rsid w:val="002005E6"/>
    <w:rsid w:val="00201252"/>
    <w:rsid w:val="00201413"/>
    <w:rsid w:val="002035A6"/>
    <w:rsid w:val="0020367A"/>
    <w:rsid w:val="002037F3"/>
    <w:rsid w:val="00204252"/>
    <w:rsid w:val="002043C1"/>
    <w:rsid w:val="00204DB3"/>
    <w:rsid w:val="00204FF2"/>
    <w:rsid w:val="00207295"/>
    <w:rsid w:val="002119F0"/>
    <w:rsid w:val="00211B0D"/>
    <w:rsid w:val="00213E67"/>
    <w:rsid w:val="002175FE"/>
    <w:rsid w:val="00220228"/>
    <w:rsid w:val="00220B04"/>
    <w:rsid w:val="00220ED5"/>
    <w:rsid w:val="002232F4"/>
    <w:rsid w:val="0022668D"/>
    <w:rsid w:val="0022731C"/>
    <w:rsid w:val="00230954"/>
    <w:rsid w:val="00231687"/>
    <w:rsid w:val="00231DE2"/>
    <w:rsid w:val="00233371"/>
    <w:rsid w:val="002337C1"/>
    <w:rsid w:val="002344D4"/>
    <w:rsid w:val="002352D4"/>
    <w:rsid w:val="00235659"/>
    <w:rsid w:val="00235B3B"/>
    <w:rsid w:val="00235E04"/>
    <w:rsid w:val="0023614F"/>
    <w:rsid w:val="00240E44"/>
    <w:rsid w:val="002423EA"/>
    <w:rsid w:val="00243787"/>
    <w:rsid w:val="00244F72"/>
    <w:rsid w:val="00245ED3"/>
    <w:rsid w:val="0025431C"/>
    <w:rsid w:val="002568FC"/>
    <w:rsid w:val="002571A2"/>
    <w:rsid w:val="00257353"/>
    <w:rsid w:val="00257B68"/>
    <w:rsid w:val="00257BC3"/>
    <w:rsid w:val="002629D9"/>
    <w:rsid w:val="00263C0B"/>
    <w:rsid w:val="00271B95"/>
    <w:rsid w:val="002752FD"/>
    <w:rsid w:val="002823EF"/>
    <w:rsid w:val="002858D9"/>
    <w:rsid w:val="0028659D"/>
    <w:rsid w:val="00290687"/>
    <w:rsid w:val="00290706"/>
    <w:rsid w:val="00290AF3"/>
    <w:rsid w:val="00293807"/>
    <w:rsid w:val="00293984"/>
    <w:rsid w:val="002947D0"/>
    <w:rsid w:val="00297858"/>
    <w:rsid w:val="002A0C5A"/>
    <w:rsid w:val="002A15FC"/>
    <w:rsid w:val="002A1A02"/>
    <w:rsid w:val="002A20C9"/>
    <w:rsid w:val="002A243B"/>
    <w:rsid w:val="002A545E"/>
    <w:rsid w:val="002A7B03"/>
    <w:rsid w:val="002B051C"/>
    <w:rsid w:val="002B0D3B"/>
    <w:rsid w:val="002B12FB"/>
    <w:rsid w:val="002B2016"/>
    <w:rsid w:val="002B2418"/>
    <w:rsid w:val="002B294E"/>
    <w:rsid w:val="002B2EA2"/>
    <w:rsid w:val="002B3700"/>
    <w:rsid w:val="002B4AED"/>
    <w:rsid w:val="002B4E58"/>
    <w:rsid w:val="002B67B6"/>
    <w:rsid w:val="002B6AA8"/>
    <w:rsid w:val="002B79BE"/>
    <w:rsid w:val="002B7FEF"/>
    <w:rsid w:val="002C096A"/>
    <w:rsid w:val="002C11AC"/>
    <w:rsid w:val="002C1300"/>
    <w:rsid w:val="002C407A"/>
    <w:rsid w:val="002C452B"/>
    <w:rsid w:val="002C4631"/>
    <w:rsid w:val="002C48D0"/>
    <w:rsid w:val="002C67F2"/>
    <w:rsid w:val="002C733E"/>
    <w:rsid w:val="002C796C"/>
    <w:rsid w:val="002D6906"/>
    <w:rsid w:val="002E2A25"/>
    <w:rsid w:val="002E38FF"/>
    <w:rsid w:val="002E3D79"/>
    <w:rsid w:val="002E44CD"/>
    <w:rsid w:val="002E74A3"/>
    <w:rsid w:val="002E77FC"/>
    <w:rsid w:val="002F41F8"/>
    <w:rsid w:val="002F4BFF"/>
    <w:rsid w:val="002F4C55"/>
    <w:rsid w:val="002F4D9D"/>
    <w:rsid w:val="002F56E8"/>
    <w:rsid w:val="00300897"/>
    <w:rsid w:val="0030419A"/>
    <w:rsid w:val="003155EE"/>
    <w:rsid w:val="0032228C"/>
    <w:rsid w:val="00323152"/>
    <w:rsid w:val="003233AA"/>
    <w:rsid w:val="00324D0E"/>
    <w:rsid w:val="0032581C"/>
    <w:rsid w:val="0032642F"/>
    <w:rsid w:val="00326F5D"/>
    <w:rsid w:val="0032785C"/>
    <w:rsid w:val="00330E18"/>
    <w:rsid w:val="003315A8"/>
    <w:rsid w:val="00331DAE"/>
    <w:rsid w:val="00332C5C"/>
    <w:rsid w:val="00332DC7"/>
    <w:rsid w:val="00332F53"/>
    <w:rsid w:val="003336A1"/>
    <w:rsid w:val="00333B05"/>
    <w:rsid w:val="00340462"/>
    <w:rsid w:val="00343472"/>
    <w:rsid w:val="00343668"/>
    <w:rsid w:val="00343F98"/>
    <w:rsid w:val="00345DBA"/>
    <w:rsid w:val="00350ACA"/>
    <w:rsid w:val="00352356"/>
    <w:rsid w:val="0035251A"/>
    <w:rsid w:val="00354730"/>
    <w:rsid w:val="0035496B"/>
    <w:rsid w:val="003566EB"/>
    <w:rsid w:val="00356A42"/>
    <w:rsid w:val="00356DD2"/>
    <w:rsid w:val="003600A9"/>
    <w:rsid w:val="00362229"/>
    <w:rsid w:val="00362739"/>
    <w:rsid w:val="0036314A"/>
    <w:rsid w:val="0036314D"/>
    <w:rsid w:val="00363205"/>
    <w:rsid w:val="003664C9"/>
    <w:rsid w:val="00367103"/>
    <w:rsid w:val="003711ED"/>
    <w:rsid w:val="003741D3"/>
    <w:rsid w:val="00375DB5"/>
    <w:rsid w:val="0037655A"/>
    <w:rsid w:val="003768D2"/>
    <w:rsid w:val="00380923"/>
    <w:rsid w:val="003809CA"/>
    <w:rsid w:val="00380EE5"/>
    <w:rsid w:val="00381688"/>
    <w:rsid w:val="00385446"/>
    <w:rsid w:val="00385B08"/>
    <w:rsid w:val="00390662"/>
    <w:rsid w:val="00390F8C"/>
    <w:rsid w:val="00393A85"/>
    <w:rsid w:val="00394023"/>
    <w:rsid w:val="00395E07"/>
    <w:rsid w:val="003A2DD2"/>
    <w:rsid w:val="003A43EF"/>
    <w:rsid w:val="003A5F09"/>
    <w:rsid w:val="003B040F"/>
    <w:rsid w:val="003B3EF5"/>
    <w:rsid w:val="003B5B6A"/>
    <w:rsid w:val="003C06E3"/>
    <w:rsid w:val="003C130A"/>
    <w:rsid w:val="003C5819"/>
    <w:rsid w:val="003C6659"/>
    <w:rsid w:val="003C6695"/>
    <w:rsid w:val="003C706D"/>
    <w:rsid w:val="003C7501"/>
    <w:rsid w:val="003C75E7"/>
    <w:rsid w:val="003C769A"/>
    <w:rsid w:val="003D040F"/>
    <w:rsid w:val="003D4605"/>
    <w:rsid w:val="003D4606"/>
    <w:rsid w:val="003D4C9B"/>
    <w:rsid w:val="003D4DB8"/>
    <w:rsid w:val="003D597A"/>
    <w:rsid w:val="003E19C6"/>
    <w:rsid w:val="003E4E59"/>
    <w:rsid w:val="003E60BD"/>
    <w:rsid w:val="003E64AA"/>
    <w:rsid w:val="003E6EDA"/>
    <w:rsid w:val="003E7FD8"/>
    <w:rsid w:val="003F00B2"/>
    <w:rsid w:val="003F022B"/>
    <w:rsid w:val="003F0301"/>
    <w:rsid w:val="003F2F39"/>
    <w:rsid w:val="003F61E3"/>
    <w:rsid w:val="003F7547"/>
    <w:rsid w:val="0040050A"/>
    <w:rsid w:val="0040054E"/>
    <w:rsid w:val="00402583"/>
    <w:rsid w:val="0040300C"/>
    <w:rsid w:val="00403F8E"/>
    <w:rsid w:val="0040543E"/>
    <w:rsid w:val="004063DB"/>
    <w:rsid w:val="004069E7"/>
    <w:rsid w:val="00410550"/>
    <w:rsid w:val="00410ACE"/>
    <w:rsid w:val="00411785"/>
    <w:rsid w:val="00411BAE"/>
    <w:rsid w:val="00411DC2"/>
    <w:rsid w:val="00412E46"/>
    <w:rsid w:val="00413A7C"/>
    <w:rsid w:val="00414217"/>
    <w:rsid w:val="00415518"/>
    <w:rsid w:val="00417785"/>
    <w:rsid w:val="004221E2"/>
    <w:rsid w:val="00422900"/>
    <w:rsid w:val="00423B88"/>
    <w:rsid w:val="0042438E"/>
    <w:rsid w:val="00425B7B"/>
    <w:rsid w:val="004268C6"/>
    <w:rsid w:val="00426E4A"/>
    <w:rsid w:val="0042731C"/>
    <w:rsid w:val="004273FF"/>
    <w:rsid w:val="00433471"/>
    <w:rsid w:val="004341F3"/>
    <w:rsid w:val="00435B15"/>
    <w:rsid w:val="00437BA0"/>
    <w:rsid w:val="004400EC"/>
    <w:rsid w:val="00441B9E"/>
    <w:rsid w:val="00441FC0"/>
    <w:rsid w:val="00442987"/>
    <w:rsid w:val="00445098"/>
    <w:rsid w:val="00446462"/>
    <w:rsid w:val="00450304"/>
    <w:rsid w:val="00450E36"/>
    <w:rsid w:val="00451D56"/>
    <w:rsid w:val="00452FCB"/>
    <w:rsid w:val="00455CD5"/>
    <w:rsid w:val="004568E9"/>
    <w:rsid w:val="004607E0"/>
    <w:rsid w:val="00465DB0"/>
    <w:rsid w:val="00466137"/>
    <w:rsid w:val="00470A43"/>
    <w:rsid w:val="00471BEE"/>
    <w:rsid w:val="00472393"/>
    <w:rsid w:val="00474EFB"/>
    <w:rsid w:val="0047518D"/>
    <w:rsid w:val="004773D4"/>
    <w:rsid w:val="004876AC"/>
    <w:rsid w:val="00490E56"/>
    <w:rsid w:val="00490E7D"/>
    <w:rsid w:val="00491E31"/>
    <w:rsid w:val="0049243E"/>
    <w:rsid w:val="00492EB2"/>
    <w:rsid w:val="0049336F"/>
    <w:rsid w:val="004966A7"/>
    <w:rsid w:val="004A0B3B"/>
    <w:rsid w:val="004A1C7D"/>
    <w:rsid w:val="004A3574"/>
    <w:rsid w:val="004A5805"/>
    <w:rsid w:val="004A6460"/>
    <w:rsid w:val="004B51CB"/>
    <w:rsid w:val="004B5616"/>
    <w:rsid w:val="004C1951"/>
    <w:rsid w:val="004C2A05"/>
    <w:rsid w:val="004C368F"/>
    <w:rsid w:val="004C41C0"/>
    <w:rsid w:val="004C6305"/>
    <w:rsid w:val="004C6482"/>
    <w:rsid w:val="004C696F"/>
    <w:rsid w:val="004C6D9A"/>
    <w:rsid w:val="004D0BC0"/>
    <w:rsid w:val="004D28AD"/>
    <w:rsid w:val="004D3248"/>
    <w:rsid w:val="004D4500"/>
    <w:rsid w:val="004D4DC7"/>
    <w:rsid w:val="004D6D08"/>
    <w:rsid w:val="004D74B8"/>
    <w:rsid w:val="004E3864"/>
    <w:rsid w:val="004E74E7"/>
    <w:rsid w:val="004E7E8B"/>
    <w:rsid w:val="004F0575"/>
    <w:rsid w:val="004F13DF"/>
    <w:rsid w:val="004F3290"/>
    <w:rsid w:val="004F5B36"/>
    <w:rsid w:val="004F65C2"/>
    <w:rsid w:val="004F6B0B"/>
    <w:rsid w:val="004F6CD7"/>
    <w:rsid w:val="00501089"/>
    <w:rsid w:val="00505116"/>
    <w:rsid w:val="00506BC1"/>
    <w:rsid w:val="0051018E"/>
    <w:rsid w:val="00510994"/>
    <w:rsid w:val="0051370E"/>
    <w:rsid w:val="005160BD"/>
    <w:rsid w:val="00516E16"/>
    <w:rsid w:val="00521970"/>
    <w:rsid w:val="00524338"/>
    <w:rsid w:val="00524ED4"/>
    <w:rsid w:val="00526F0B"/>
    <w:rsid w:val="00527078"/>
    <w:rsid w:val="00530F90"/>
    <w:rsid w:val="00532517"/>
    <w:rsid w:val="005326F5"/>
    <w:rsid w:val="00532B05"/>
    <w:rsid w:val="005338A2"/>
    <w:rsid w:val="00534991"/>
    <w:rsid w:val="00534DEF"/>
    <w:rsid w:val="00535061"/>
    <w:rsid w:val="005365B2"/>
    <w:rsid w:val="005412FD"/>
    <w:rsid w:val="00542163"/>
    <w:rsid w:val="00542B26"/>
    <w:rsid w:val="00544C71"/>
    <w:rsid w:val="005464B4"/>
    <w:rsid w:val="00546EB9"/>
    <w:rsid w:val="00553DEE"/>
    <w:rsid w:val="0055474E"/>
    <w:rsid w:val="00554CF6"/>
    <w:rsid w:val="00561F5A"/>
    <w:rsid w:val="00562715"/>
    <w:rsid w:val="00563882"/>
    <w:rsid w:val="00563FDA"/>
    <w:rsid w:val="00564865"/>
    <w:rsid w:val="00564DBE"/>
    <w:rsid w:val="005660DF"/>
    <w:rsid w:val="005718FC"/>
    <w:rsid w:val="00574EF3"/>
    <w:rsid w:val="0057647F"/>
    <w:rsid w:val="00581248"/>
    <w:rsid w:val="00581AE2"/>
    <w:rsid w:val="00582624"/>
    <w:rsid w:val="005843DA"/>
    <w:rsid w:val="0059091B"/>
    <w:rsid w:val="005919BE"/>
    <w:rsid w:val="00593414"/>
    <w:rsid w:val="005936F9"/>
    <w:rsid w:val="0059383F"/>
    <w:rsid w:val="00593E09"/>
    <w:rsid w:val="005A2D71"/>
    <w:rsid w:val="005A3C50"/>
    <w:rsid w:val="005A47DE"/>
    <w:rsid w:val="005A5187"/>
    <w:rsid w:val="005A5220"/>
    <w:rsid w:val="005A5708"/>
    <w:rsid w:val="005A6A3B"/>
    <w:rsid w:val="005A7ED8"/>
    <w:rsid w:val="005B1172"/>
    <w:rsid w:val="005B1BA9"/>
    <w:rsid w:val="005B1EF4"/>
    <w:rsid w:val="005B2ADD"/>
    <w:rsid w:val="005B3D1C"/>
    <w:rsid w:val="005B66D7"/>
    <w:rsid w:val="005B7802"/>
    <w:rsid w:val="005C2ECF"/>
    <w:rsid w:val="005C6360"/>
    <w:rsid w:val="005C694F"/>
    <w:rsid w:val="005C7418"/>
    <w:rsid w:val="005C759C"/>
    <w:rsid w:val="005C7847"/>
    <w:rsid w:val="005D122D"/>
    <w:rsid w:val="005D2315"/>
    <w:rsid w:val="005D3362"/>
    <w:rsid w:val="005D63B8"/>
    <w:rsid w:val="005E2564"/>
    <w:rsid w:val="005E2A56"/>
    <w:rsid w:val="005E3254"/>
    <w:rsid w:val="005E3AE9"/>
    <w:rsid w:val="005E4DE2"/>
    <w:rsid w:val="005E70C8"/>
    <w:rsid w:val="005F2708"/>
    <w:rsid w:val="005F3525"/>
    <w:rsid w:val="005F4F98"/>
    <w:rsid w:val="005F5F01"/>
    <w:rsid w:val="005F6EA8"/>
    <w:rsid w:val="005F720D"/>
    <w:rsid w:val="006020BA"/>
    <w:rsid w:val="00602128"/>
    <w:rsid w:val="00604C89"/>
    <w:rsid w:val="00607979"/>
    <w:rsid w:val="0061011F"/>
    <w:rsid w:val="00610630"/>
    <w:rsid w:val="00611308"/>
    <w:rsid w:val="006118DC"/>
    <w:rsid w:val="00611FF6"/>
    <w:rsid w:val="006152AF"/>
    <w:rsid w:val="00620FF5"/>
    <w:rsid w:val="006223B8"/>
    <w:rsid w:val="006228A0"/>
    <w:rsid w:val="00622E30"/>
    <w:rsid w:val="00624F8A"/>
    <w:rsid w:val="006254DB"/>
    <w:rsid w:val="00625DE4"/>
    <w:rsid w:val="0063081F"/>
    <w:rsid w:val="00630927"/>
    <w:rsid w:val="00631A9E"/>
    <w:rsid w:val="00633B82"/>
    <w:rsid w:val="006349FA"/>
    <w:rsid w:val="00634B59"/>
    <w:rsid w:val="00636112"/>
    <w:rsid w:val="00637CF9"/>
    <w:rsid w:val="006401DE"/>
    <w:rsid w:val="00644CC8"/>
    <w:rsid w:val="00652400"/>
    <w:rsid w:val="00652417"/>
    <w:rsid w:val="00652A32"/>
    <w:rsid w:val="00654527"/>
    <w:rsid w:val="00656F25"/>
    <w:rsid w:val="006574D1"/>
    <w:rsid w:val="00661376"/>
    <w:rsid w:val="00662931"/>
    <w:rsid w:val="0066666F"/>
    <w:rsid w:val="006728A9"/>
    <w:rsid w:val="00673AD2"/>
    <w:rsid w:val="0067558E"/>
    <w:rsid w:val="0067625D"/>
    <w:rsid w:val="006762B8"/>
    <w:rsid w:val="006817ED"/>
    <w:rsid w:val="00681EBB"/>
    <w:rsid w:val="006833D2"/>
    <w:rsid w:val="00685FAB"/>
    <w:rsid w:val="006928B5"/>
    <w:rsid w:val="00692C77"/>
    <w:rsid w:val="0069494C"/>
    <w:rsid w:val="00695267"/>
    <w:rsid w:val="00695278"/>
    <w:rsid w:val="00695D4F"/>
    <w:rsid w:val="006A11B6"/>
    <w:rsid w:val="006A2539"/>
    <w:rsid w:val="006A28D2"/>
    <w:rsid w:val="006A290D"/>
    <w:rsid w:val="006A29B4"/>
    <w:rsid w:val="006A2D0F"/>
    <w:rsid w:val="006A546D"/>
    <w:rsid w:val="006A57D0"/>
    <w:rsid w:val="006A5831"/>
    <w:rsid w:val="006A5E97"/>
    <w:rsid w:val="006B105C"/>
    <w:rsid w:val="006B1591"/>
    <w:rsid w:val="006B3507"/>
    <w:rsid w:val="006B39D1"/>
    <w:rsid w:val="006B6E16"/>
    <w:rsid w:val="006C019C"/>
    <w:rsid w:val="006C020F"/>
    <w:rsid w:val="006C31B1"/>
    <w:rsid w:val="006C3601"/>
    <w:rsid w:val="006C4765"/>
    <w:rsid w:val="006C65FD"/>
    <w:rsid w:val="006D0035"/>
    <w:rsid w:val="006D0C79"/>
    <w:rsid w:val="006D0F00"/>
    <w:rsid w:val="006D3381"/>
    <w:rsid w:val="006D7D20"/>
    <w:rsid w:val="006E1A60"/>
    <w:rsid w:val="006E2D84"/>
    <w:rsid w:val="006E2DD4"/>
    <w:rsid w:val="006E42C9"/>
    <w:rsid w:val="006E5958"/>
    <w:rsid w:val="006E5EE6"/>
    <w:rsid w:val="006E752C"/>
    <w:rsid w:val="006F165F"/>
    <w:rsid w:val="006F1E27"/>
    <w:rsid w:val="006F22C6"/>
    <w:rsid w:val="006F4826"/>
    <w:rsid w:val="006F4AD4"/>
    <w:rsid w:val="006F57D4"/>
    <w:rsid w:val="006F7B64"/>
    <w:rsid w:val="0070093A"/>
    <w:rsid w:val="007017C2"/>
    <w:rsid w:val="0070604D"/>
    <w:rsid w:val="007115C9"/>
    <w:rsid w:val="00711B52"/>
    <w:rsid w:val="007120FC"/>
    <w:rsid w:val="007121B5"/>
    <w:rsid w:val="007147D4"/>
    <w:rsid w:val="00716E72"/>
    <w:rsid w:val="00721476"/>
    <w:rsid w:val="00724679"/>
    <w:rsid w:val="00724B97"/>
    <w:rsid w:val="007272D9"/>
    <w:rsid w:val="007279D9"/>
    <w:rsid w:val="00731BD2"/>
    <w:rsid w:val="00735F8B"/>
    <w:rsid w:val="007371C7"/>
    <w:rsid w:val="007417CA"/>
    <w:rsid w:val="00741FC1"/>
    <w:rsid w:val="00743224"/>
    <w:rsid w:val="00744045"/>
    <w:rsid w:val="00744B50"/>
    <w:rsid w:val="00747C19"/>
    <w:rsid w:val="0075099F"/>
    <w:rsid w:val="0075137C"/>
    <w:rsid w:val="007521DB"/>
    <w:rsid w:val="0075302C"/>
    <w:rsid w:val="0075332E"/>
    <w:rsid w:val="00753627"/>
    <w:rsid w:val="00754049"/>
    <w:rsid w:val="00754B2A"/>
    <w:rsid w:val="00756ABA"/>
    <w:rsid w:val="00761FA6"/>
    <w:rsid w:val="00764D2E"/>
    <w:rsid w:val="00767391"/>
    <w:rsid w:val="00771104"/>
    <w:rsid w:val="00771860"/>
    <w:rsid w:val="00772256"/>
    <w:rsid w:val="007757C1"/>
    <w:rsid w:val="007758D8"/>
    <w:rsid w:val="00775ACA"/>
    <w:rsid w:val="00775C86"/>
    <w:rsid w:val="007808DC"/>
    <w:rsid w:val="007819A0"/>
    <w:rsid w:val="00781DA3"/>
    <w:rsid w:val="00782EA6"/>
    <w:rsid w:val="00783D9E"/>
    <w:rsid w:val="00785D5A"/>
    <w:rsid w:val="00787112"/>
    <w:rsid w:val="00787950"/>
    <w:rsid w:val="007913F5"/>
    <w:rsid w:val="00792FC2"/>
    <w:rsid w:val="00793C97"/>
    <w:rsid w:val="00793CED"/>
    <w:rsid w:val="00793D69"/>
    <w:rsid w:val="00796C5C"/>
    <w:rsid w:val="00797CC1"/>
    <w:rsid w:val="007A0444"/>
    <w:rsid w:val="007A12DE"/>
    <w:rsid w:val="007A2B4B"/>
    <w:rsid w:val="007A2B88"/>
    <w:rsid w:val="007A5E31"/>
    <w:rsid w:val="007A6AD1"/>
    <w:rsid w:val="007A7742"/>
    <w:rsid w:val="007A7FAA"/>
    <w:rsid w:val="007B248E"/>
    <w:rsid w:val="007B249B"/>
    <w:rsid w:val="007B3609"/>
    <w:rsid w:val="007B741A"/>
    <w:rsid w:val="007B7EB5"/>
    <w:rsid w:val="007C1AC2"/>
    <w:rsid w:val="007C2CCE"/>
    <w:rsid w:val="007C50AA"/>
    <w:rsid w:val="007C5ECE"/>
    <w:rsid w:val="007D0484"/>
    <w:rsid w:val="007D0C0D"/>
    <w:rsid w:val="007D1BA4"/>
    <w:rsid w:val="007D2029"/>
    <w:rsid w:val="007D4AAF"/>
    <w:rsid w:val="007D5A81"/>
    <w:rsid w:val="007D5C45"/>
    <w:rsid w:val="007D5F33"/>
    <w:rsid w:val="007E217C"/>
    <w:rsid w:val="007E29A8"/>
    <w:rsid w:val="007E64FE"/>
    <w:rsid w:val="007E6C5A"/>
    <w:rsid w:val="007F016E"/>
    <w:rsid w:val="007F08B5"/>
    <w:rsid w:val="007F3447"/>
    <w:rsid w:val="007F5083"/>
    <w:rsid w:val="007F5909"/>
    <w:rsid w:val="007F664C"/>
    <w:rsid w:val="007F757E"/>
    <w:rsid w:val="007F7A71"/>
    <w:rsid w:val="007F7BD1"/>
    <w:rsid w:val="0080065C"/>
    <w:rsid w:val="008029F0"/>
    <w:rsid w:val="00803A10"/>
    <w:rsid w:val="00804785"/>
    <w:rsid w:val="008062D7"/>
    <w:rsid w:val="00807B66"/>
    <w:rsid w:val="00807D32"/>
    <w:rsid w:val="008116A1"/>
    <w:rsid w:val="00816055"/>
    <w:rsid w:val="00820B79"/>
    <w:rsid w:val="00821622"/>
    <w:rsid w:val="00821EF6"/>
    <w:rsid w:val="00822205"/>
    <w:rsid w:val="00822381"/>
    <w:rsid w:val="00823601"/>
    <w:rsid w:val="00824934"/>
    <w:rsid w:val="00824A85"/>
    <w:rsid w:val="00825731"/>
    <w:rsid w:val="00825978"/>
    <w:rsid w:val="00832569"/>
    <w:rsid w:val="00833B5A"/>
    <w:rsid w:val="00834077"/>
    <w:rsid w:val="00834832"/>
    <w:rsid w:val="0083483E"/>
    <w:rsid w:val="00834949"/>
    <w:rsid w:val="00834B52"/>
    <w:rsid w:val="00835665"/>
    <w:rsid w:val="00836CE1"/>
    <w:rsid w:val="00837C70"/>
    <w:rsid w:val="00840C46"/>
    <w:rsid w:val="008410D5"/>
    <w:rsid w:val="008411C3"/>
    <w:rsid w:val="00842400"/>
    <w:rsid w:val="008427D8"/>
    <w:rsid w:val="00844E98"/>
    <w:rsid w:val="00844F0F"/>
    <w:rsid w:val="00847D73"/>
    <w:rsid w:val="00847F16"/>
    <w:rsid w:val="0085072F"/>
    <w:rsid w:val="00851C12"/>
    <w:rsid w:val="00851D22"/>
    <w:rsid w:val="008527EF"/>
    <w:rsid w:val="00854D62"/>
    <w:rsid w:val="00857286"/>
    <w:rsid w:val="008579CC"/>
    <w:rsid w:val="00861C5F"/>
    <w:rsid w:val="00862F8D"/>
    <w:rsid w:val="0086384F"/>
    <w:rsid w:val="008640D3"/>
    <w:rsid w:val="008643A9"/>
    <w:rsid w:val="00865C1D"/>
    <w:rsid w:val="00866FA1"/>
    <w:rsid w:val="008674F5"/>
    <w:rsid w:val="00867D8E"/>
    <w:rsid w:val="00870A27"/>
    <w:rsid w:val="008710A0"/>
    <w:rsid w:val="00873EE0"/>
    <w:rsid w:val="00874D3A"/>
    <w:rsid w:val="008771C4"/>
    <w:rsid w:val="008809ED"/>
    <w:rsid w:val="0088262A"/>
    <w:rsid w:val="008841D5"/>
    <w:rsid w:val="008867E0"/>
    <w:rsid w:val="0089241F"/>
    <w:rsid w:val="00892820"/>
    <w:rsid w:val="00892D3E"/>
    <w:rsid w:val="0089309A"/>
    <w:rsid w:val="008938BA"/>
    <w:rsid w:val="0089499C"/>
    <w:rsid w:val="00896409"/>
    <w:rsid w:val="00896717"/>
    <w:rsid w:val="0089761D"/>
    <w:rsid w:val="008A0058"/>
    <w:rsid w:val="008A0990"/>
    <w:rsid w:val="008A0CFC"/>
    <w:rsid w:val="008A0F0D"/>
    <w:rsid w:val="008A2BA7"/>
    <w:rsid w:val="008A2E6B"/>
    <w:rsid w:val="008A4201"/>
    <w:rsid w:val="008A498B"/>
    <w:rsid w:val="008A5566"/>
    <w:rsid w:val="008A6CA4"/>
    <w:rsid w:val="008B201B"/>
    <w:rsid w:val="008B204E"/>
    <w:rsid w:val="008B2DB3"/>
    <w:rsid w:val="008C0150"/>
    <w:rsid w:val="008C07E4"/>
    <w:rsid w:val="008C095E"/>
    <w:rsid w:val="008C28FC"/>
    <w:rsid w:val="008C2A37"/>
    <w:rsid w:val="008C3676"/>
    <w:rsid w:val="008C3AE3"/>
    <w:rsid w:val="008C7E62"/>
    <w:rsid w:val="008D071A"/>
    <w:rsid w:val="008D09FE"/>
    <w:rsid w:val="008D23A5"/>
    <w:rsid w:val="008D4CE2"/>
    <w:rsid w:val="008D566A"/>
    <w:rsid w:val="008D6E79"/>
    <w:rsid w:val="008E0B2A"/>
    <w:rsid w:val="008E7042"/>
    <w:rsid w:val="008E75C1"/>
    <w:rsid w:val="008F1732"/>
    <w:rsid w:val="008F1EF0"/>
    <w:rsid w:val="008F389E"/>
    <w:rsid w:val="008F478F"/>
    <w:rsid w:val="008F551B"/>
    <w:rsid w:val="008F5933"/>
    <w:rsid w:val="008F6360"/>
    <w:rsid w:val="008F7408"/>
    <w:rsid w:val="0090111C"/>
    <w:rsid w:val="0090151C"/>
    <w:rsid w:val="00901602"/>
    <w:rsid w:val="00902EEC"/>
    <w:rsid w:val="00904007"/>
    <w:rsid w:val="00904560"/>
    <w:rsid w:val="00904F1F"/>
    <w:rsid w:val="00905AC1"/>
    <w:rsid w:val="00907024"/>
    <w:rsid w:val="00912FEF"/>
    <w:rsid w:val="00913486"/>
    <w:rsid w:val="00916AB2"/>
    <w:rsid w:val="00916BBE"/>
    <w:rsid w:val="00920C17"/>
    <w:rsid w:val="00922B26"/>
    <w:rsid w:val="0092326F"/>
    <w:rsid w:val="009244D8"/>
    <w:rsid w:val="009245D2"/>
    <w:rsid w:val="0092723D"/>
    <w:rsid w:val="00930796"/>
    <w:rsid w:val="009325EA"/>
    <w:rsid w:val="0093307A"/>
    <w:rsid w:val="009330AC"/>
    <w:rsid w:val="00935CE4"/>
    <w:rsid w:val="00940898"/>
    <w:rsid w:val="00941311"/>
    <w:rsid w:val="00942550"/>
    <w:rsid w:val="009453D5"/>
    <w:rsid w:val="00945A2E"/>
    <w:rsid w:val="0095126E"/>
    <w:rsid w:val="009522DC"/>
    <w:rsid w:val="009536D2"/>
    <w:rsid w:val="009543E3"/>
    <w:rsid w:val="00954A40"/>
    <w:rsid w:val="009563D5"/>
    <w:rsid w:val="0095733C"/>
    <w:rsid w:val="00957C52"/>
    <w:rsid w:val="009618E1"/>
    <w:rsid w:val="00962D43"/>
    <w:rsid w:val="0096334D"/>
    <w:rsid w:val="0096443B"/>
    <w:rsid w:val="00964B38"/>
    <w:rsid w:val="00965647"/>
    <w:rsid w:val="0096798F"/>
    <w:rsid w:val="00967B66"/>
    <w:rsid w:val="00967F72"/>
    <w:rsid w:val="00971921"/>
    <w:rsid w:val="00976355"/>
    <w:rsid w:val="009835A9"/>
    <w:rsid w:val="00986B17"/>
    <w:rsid w:val="00990907"/>
    <w:rsid w:val="00992BCA"/>
    <w:rsid w:val="00992DBB"/>
    <w:rsid w:val="00993A37"/>
    <w:rsid w:val="009952AA"/>
    <w:rsid w:val="0099561B"/>
    <w:rsid w:val="00995CE7"/>
    <w:rsid w:val="009977E5"/>
    <w:rsid w:val="009A1653"/>
    <w:rsid w:val="009A17F8"/>
    <w:rsid w:val="009A32F5"/>
    <w:rsid w:val="009A5533"/>
    <w:rsid w:val="009B1294"/>
    <w:rsid w:val="009B44B7"/>
    <w:rsid w:val="009B4983"/>
    <w:rsid w:val="009B5078"/>
    <w:rsid w:val="009B762D"/>
    <w:rsid w:val="009B7817"/>
    <w:rsid w:val="009B7D23"/>
    <w:rsid w:val="009B7DFF"/>
    <w:rsid w:val="009C1294"/>
    <w:rsid w:val="009C195B"/>
    <w:rsid w:val="009C41D0"/>
    <w:rsid w:val="009C53B6"/>
    <w:rsid w:val="009D1B5E"/>
    <w:rsid w:val="009D1F46"/>
    <w:rsid w:val="009D3316"/>
    <w:rsid w:val="009E07E6"/>
    <w:rsid w:val="009E5532"/>
    <w:rsid w:val="009E61E3"/>
    <w:rsid w:val="009F3825"/>
    <w:rsid w:val="00A00189"/>
    <w:rsid w:val="00A0023B"/>
    <w:rsid w:val="00A017E6"/>
    <w:rsid w:val="00A01A30"/>
    <w:rsid w:val="00A01D21"/>
    <w:rsid w:val="00A023C9"/>
    <w:rsid w:val="00A03DE0"/>
    <w:rsid w:val="00A04A69"/>
    <w:rsid w:val="00A073E3"/>
    <w:rsid w:val="00A07589"/>
    <w:rsid w:val="00A075C8"/>
    <w:rsid w:val="00A10C35"/>
    <w:rsid w:val="00A12278"/>
    <w:rsid w:val="00A13560"/>
    <w:rsid w:val="00A13A7E"/>
    <w:rsid w:val="00A1419D"/>
    <w:rsid w:val="00A14BE7"/>
    <w:rsid w:val="00A150C0"/>
    <w:rsid w:val="00A1650C"/>
    <w:rsid w:val="00A205EF"/>
    <w:rsid w:val="00A22A1D"/>
    <w:rsid w:val="00A243D7"/>
    <w:rsid w:val="00A24A15"/>
    <w:rsid w:val="00A2633B"/>
    <w:rsid w:val="00A277E1"/>
    <w:rsid w:val="00A27D83"/>
    <w:rsid w:val="00A32637"/>
    <w:rsid w:val="00A33AB0"/>
    <w:rsid w:val="00A3498F"/>
    <w:rsid w:val="00A36375"/>
    <w:rsid w:val="00A36699"/>
    <w:rsid w:val="00A374D8"/>
    <w:rsid w:val="00A415BF"/>
    <w:rsid w:val="00A42523"/>
    <w:rsid w:val="00A440CC"/>
    <w:rsid w:val="00A44261"/>
    <w:rsid w:val="00A442A6"/>
    <w:rsid w:val="00A44487"/>
    <w:rsid w:val="00A4465B"/>
    <w:rsid w:val="00A447BA"/>
    <w:rsid w:val="00A4730D"/>
    <w:rsid w:val="00A47C86"/>
    <w:rsid w:val="00A50394"/>
    <w:rsid w:val="00A51F9C"/>
    <w:rsid w:val="00A52EA2"/>
    <w:rsid w:val="00A52F97"/>
    <w:rsid w:val="00A546D2"/>
    <w:rsid w:val="00A5694B"/>
    <w:rsid w:val="00A605C6"/>
    <w:rsid w:val="00A62B8E"/>
    <w:rsid w:val="00A639C9"/>
    <w:rsid w:val="00A64696"/>
    <w:rsid w:val="00A64C2C"/>
    <w:rsid w:val="00A658D6"/>
    <w:rsid w:val="00A65FEA"/>
    <w:rsid w:val="00A673AC"/>
    <w:rsid w:val="00A736DE"/>
    <w:rsid w:val="00A739AB"/>
    <w:rsid w:val="00A774B1"/>
    <w:rsid w:val="00A8205F"/>
    <w:rsid w:val="00A82E42"/>
    <w:rsid w:val="00A83F47"/>
    <w:rsid w:val="00A847BC"/>
    <w:rsid w:val="00A84E9B"/>
    <w:rsid w:val="00A9111F"/>
    <w:rsid w:val="00A92918"/>
    <w:rsid w:val="00A9576A"/>
    <w:rsid w:val="00AB11A2"/>
    <w:rsid w:val="00AB3A91"/>
    <w:rsid w:val="00AB4380"/>
    <w:rsid w:val="00AB79A7"/>
    <w:rsid w:val="00AC0352"/>
    <w:rsid w:val="00AC3305"/>
    <w:rsid w:val="00AC48A4"/>
    <w:rsid w:val="00AC5472"/>
    <w:rsid w:val="00AC578E"/>
    <w:rsid w:val="00AC7DA2"/>
    <w:rsid w:val="00AC7EDC"/>
    <w:rsid w:val="00AD0529"/>
    <w:rsid w:val="00AD4741"/>
    <w:rsid w:val="00AD5D9B"/>
    <w:rsid w:val="00AD6E87"/>
    <w:rsid w:val="00AD72E4"/>
    <w:rsid w:val="00AE177E"/>
    <w:rsid w:val="00AE22CC"/>
    <w:rsid w:val="00AE3951"/>
    <w:rsid w:val="00AE47DC"/>
    <w:rsid w:val="00AE5A60"/>
    <w:rsid w:val="00AF0F9F"/>
    <w:rsid w:val="00AF60A9"/>
    <w:rsid w:val="00B00ED2"/>
    <w:rsid w:val="00B01D06"/>
    <w:rsid w:val="00B0319C"/>
    <w:rsid w:val="00B04A39"/>
    <w:rsid w:val="00B04FA7"/>
    <w:rsid w:val="00B054DA"/>
    <w:rsid w:val="00B06F43"/>
    <w:rsid w:val="00B07DC4"/>
    <w:rsid w:val="00B14CB2"/>
    <w:rsid w:val="00B1560B"/>
    <w:rsid w:val="00B15819"/>
    <w:rsid w:val="00B15F1E"/>
    <w:rsid w:val="00B17716"/>
    <w:rsid w:val="00B17C88"/>
    <w:rsid w:val="00B22FAD"/>
    <w:rsid w:val="00B23057"/>
    <w:rsid w:val="00B2410F"/>
    <w:rsid w:val="00B300AA"/>
    <w:rsid w:val="00B3033E"/>
    <w:rsid w:val="00B309AF"/>
    <w:rsid w:val="00B30E7D"/>
    <w:rsid w:val="00B311E0"/>
    <w:rsid w:val="00B327C6"/>
    <w:rsid w:val="00B34520"/>
    <w:rsid w:val="00B3461E"/>
    <w:rsid w:val="00B3676E"/>
    <w:rsid w:val="00B37839"/>
    <w:rsid w:val="00B37FA1"/>
    <w:rsid w:val="00B40892"/>
    <w:rsid w:val="00B408CC"/>
    <w:rsid w:val="00B40D55"/>
    <w:rsid w:val="00B42211"/>
    <w:rsid w:val="00B42546"/>
    <w:rsid w:val="00B42F3F"/>
    <w:rsid w:val="00B44044"/>
    <w:rsid w:val="00B4495A"/>
    <w:rsid w:val="00B45118"/>
    <w:rsid w:val="00B469CB"/>
    <w:rsid w:val="00B46DBF"/>
    <w:rsid w:val="00B471A5"/>
    <w:rsid w:val="00B47B82"/>
    <w:rsid w:val="00B50107"/>
    <w:rsid w:val="00B50B73"/>
    <w:rsid w:val="00B54922"/>
    <w:rsid w:val="00B54D10"/>
    <w:rsid w:val="00B579AE"/>
    <w:rsid w:val="00B60F22"/>
    <w:rsid w:val="00B60FE4"/>
    <w:rsid w:val="00B61E62"/>
    <w:rsid w:val="00B63B03"/>
    <w:rsid w:val="00B6514C"/>
    <w:rsid w:val="00B66E43"/>
    <w:rsid w:val="00B67717"/>
    <w:rsid w:val="00B711D4"/>
    <w:rsid w:val="00B75DD2"/>
    <w:rsid w:val="00B801A1"/>
    <w:rsid w:val="00B83D3F"/>
    <w:rsid w:val="00B84F22"/>
    <w:rsid w:val="00B859C1"/>
    <w:rsid w:val="00B86877"/>
    <w:rsid w:val="00B86B35"/>
    <w:rsid w:val="00B90381"/>
    <w:rsid w:val="00B90721"/>
    <w:rsid w:val="00B91383"/>
    <w:rsid w:val="00B92645"/>
    <w:rsid w:val="00B93EEB"/>
    <w:rsid w:val="00B94681"/>
    <w:rsid w:val="00B94AC7"/>
    <w:rsid w:val="00B94E65"/>
    <w:rsid w:val="00B95C26"/>
    <w:rsid w:val="00B96906"/>
    <w:rsid w:val="00BA0421"/>
    <w:rsid w:val="00BA0A4B"/>
    <w:rsid w:val="00BA15D5"/>
    <w:rsid w:val="00BA1720"/>
    <w:rsid w:val="00BA553F"/>
    <w:rsid w:val="00BA7A96"/>
    <w:rsid w:val="00BB01A7"/>
    <w:rsid w:val="00BB416F"/>
    <w:rsid w:val="00BB4CE1"/>
    <w:rsid w:val="00BB5280"/>
    <w:rsid w:val="00BB54A4"/>
    <w:rsid w:val="00BB5CFE"/>
    <w:rsid w:val="00BB6245"/>
    <w:rsid w:val="00BC023E"/>
    <w:rsid w:val="00BC23C2"/>
    <w:rsid w:val="00BC4164"/>
    <w:rsid w:val="00BC725F"/>
    <w:rsid w:val="00BD0355"/>
    <w:rsid w:val="00BD0860"/>
    <w:rsid w:val="00BD0CC3"/>
    <w:rsid w:val="00BD51E9"/>
    <w:rsid w:val="00BD5947"/>
    <w:rsid w:val="00BE237C"/>
    <w:rsid w:val="00BE2449"/>
    <w:rsid w:val="00BE24D9"/>
    <w:rsid w:val="00BE31E1"/>
    <w:rsid w:val="00BE3822"/>
    <w:rsid w:val="00BE444E"/>
    <w:rsid w:val="00BE5EFE"/>
    <w:rsid w:val="00BE62C1"/>
    <w:rsid w:val="00BE6F79"/>
    <w:rsid w:val="00BE718D"/>
    <w:rsid w:val="00BE7563"/>
    <w:rsid w:val="00BF36EE"/>
    <w:rsid w:val="00BF4C77"/>
    <w:rsid w:val="00BF6BE8"/>
    <w:rsid w:val="00BF7D79"/>
    <w:rsid w:val="00BF7FE1"/>
    <w:rsid w:val="00C00D00"/>
    <w:rsid w:val="00C016ED"/>
    <w:rsid w:val="00C0230E"/>
    <w:rsid w:val="00C02882"/>
    <w:rsid w:val="00C02B53"/>
    <w:rsid w:val="00C03488"/>
    <w:rsid w:val="00C035F4"/>
    <w:rsid w:val="00C05EAF"/>
    <w:rsid w:val="00C1052A"/>
    <w:rsid w:val="00C10533"/>
    <w:rsid w:val="00C14503"/>
    <w:rsid w:val="00C14897"/>
    <w:rsid w:val="00C16F65"/>
    <w:rsid w:val="00C20145"/>
    <w:rsid w:val="00C20B11"/>
    <w:rsid w:val="00C222B7"/>
    <w:rsid w:val="00C262B8"/>
    <w:rsid w:val="00C325FB"/>
    <w:rsid w:val="00C34178"/>
    <w:rsid w:val="00C3523F"/>
    <w:rsid w:val="00C369FC"/>
    <w:rsid w:val="00C42DE3"/>
    <w:rsid w:val="00C50855"/>
    <w:rsid w:val="00C51BC3"/>
    <w:rsid w:val="00C54F29"/>
    <w:rsid w:val="00C55DFB"/>
    <w:rsid w:val="00C5623B"/>
    <w:rsid w:val="00C565D0"/>
    <w:rsid w:val="00C574EA"/>
    <w:rsid w:val="00C62AE2"/>
    <w:rsid w:val="00C653CE"/>
    <w:rsid w:val="00C66C05"/>
    <w:rsid w:val="00C700B9"/>
    <w:rsid w:val="00C70446"/>
    <w:rsid w:val="00C73C27"/>
    <w:rsid w:val="00C74B3D"/>
    <w:rsid w:val="00C75696"/>
    <w:rsid w:val="00C76664"/>
    <w:rsid w:val="00C769E6"/>
    <w:rsid w:val="00C772E5"/>
    <w:rsid w:val="00C814A8"/>
    <w:rsid w:val="00C81AF0"/>
    <w:rsid w:val="00C82194"/>
    <w:rsid w:val="00C82417"/>
    <w:rsid w:val="00C82F9D"/>
    <w:rsid w:val="00C8335F"/>
    <w:rsid w:val="00C8713E"/>
    <w:rsid w:val="00C87B83"/>
    <w:rsid w:val="00C924CC"/>
    <w:rsid w:val="00C9272E"/>
    <w:rsid w:val="00C937AC"/>
    <w:rsid w:val="00C94924"/>
    <w:rsid w:val="00C97800"/>
    <w:rsid w:val="00CA0E0B"/>
    <w:rsid w:val="00CA1353"/>
    <w:rsid w:val="00CA2A0C"/>
    <w:rsid w:val="00CA5AB2"/>
    <w:rsid w:val="00CA64F8"/>
    <w:rsid w:val="00CA7B34"/>
    <w:rsid w:val="00CA7E17"/>
    <w:rsid w:val="00CB195B"/>
    <w:rsid w:val="00CB3880"/>
    <w:rsid w:val="00CB4079"/>
    <w:rsid w:val="00CB428F"/>
    <w:rsid w:val="00CB44A3"/>
    <w:rsid w:val="00CB683C"/>
    <w:rsid w:val="00CB6C1B"/>
    <w:rsid w:val="00CC0DC5"/>
    <w:rsid w:val="00CC10E7"/>
    <w:rsid w:val="00CC1DCD"/>
    <w:rsid w:val="00CC1F37"/>
    <w:rsid w:val="00CC3111"/>
    <w:rsid w:val="00CC3DC0"/>
    <w:rsid w:val="00CC4E73"/>
    <w:rsid w:val="00CC7F49"/>
    <w:rsid w:val="00CD04C1"/>
    <w:rsid w:val="00CD0953"/>
    <w:rsid w:val="00CD1676"/>
    <w:rsid w:val="00CD17A0"/>
    <w:rsid w:val="00CD1812"/>
    <w:rsid w:val="00CD2D0B"/>
    <w:rsid w:val="00CD4427"/>
    <w:rsid w:val="00CD4F0A"/>
    <w:rsid w:val="00CD510A"/>
    <w:rsid w:val="00CD5D22"/>
    <w:rsid w:val="00CD6287"/>
    <w:rsid w:val="00CD7834"/>
    <w:rsid w:val="00CE0111"/>
    <w:rsid w:val="00CE126E"/>
    <w:rsid w:val="00CE189A"/>
    <w:rsid w:val="00CE1A57"/>
    <w:rsid w:val="00CE256E"/>
    <w:rsid w:val="00CE4579"/>
    <w:rsid w:val="00CF08A9"/>
    <w:rsid w:val="00CF2BE9"/>
    <w:rsid w:val="00CF3D25"/>
    <w:rsid w:val="00CF4F44"/>
    <w:rsid w:val="00CF58EE"/>
    <w:rsid w:val="00CF5F89"/>
    <w:rsid w:val="00CF69E6"/>
    <w:rsid w:val="00CF6D76"/>
    <w:rsid w:val="00D002B4"/>
    <w:rsid w:val="00D014AD"/>
    <w:rsid w:val="00D02309"/>
    <w:rsid w:val="00D027B4"/>
    <w:rsid w:val="00D0358A"/>
    <w:rsid w:val="00D036C5"/>
    <w:rsid w:val="00D03833"/>
    <w:rsid w:val="00D07153"/>
    <w:rsid w:val="00D10764"/>
    <w:rsid w:val="00D10B52"/>
    <w:rsid w:val="00D112D9"/>
    <w:rsid w:val="00D127F4"/>
    <w:rsid w:val="00D143D8"/>
    <w:rsid w:val="00D1448A"/>
    <w:rsid w:val="00D14C98"/>
    <w:rsid w:val="00D15248"/>
    <w:rsid w:val="00D17CA7"/>
    <w:rsid w:val="00D20383"/>
    <w:rsid w:val="00D21EF3"/>
    <w:rsid w:val="00D23968"/>
    <w:rsid w:val="00D26007"/>
    <w:rsid w:val="00D2689D"/>
    <w:rsid w:val="00D26E11"/>
    <w:rsid w:val="00D275F8"/>
    <w:rsid w:val="00D31728"/>
    <w:rsid w:val="00D3221F"/>
    <w:rsid w:val="00D33522"/>
    <w:rsid w:val="00D336E5"/>
    <w:rsid w:val="00D337E6"/>
    <w:rsid w:val="00D353E0"/>
    <w:rsid w:val="00D3683B"/>
    <w:rsid w:val="00D36B36"/>
    <w:rsid w:val="00D37A0A"/>
    <w:rsid w:val="00D40098"/>
    <w:rsid w:val="00D40D1E"/>
    <w:rsid w:val="00D41F77"/>
    <w:rsid w:val="00D42B0B"/>
    <w:rsid w:val="00D4322C"/>
    <w:rsid w:val="00D45A8F"/>
    <w:rsid w:val="00D461BA"/>
    <w:rsid w:val="00D46D14"/>
    <w:rsid w:val="00D46F0E"/>
    <w:rsid w:val="00D519D5"/>
    <w:rsid w:val="00D52738"/>
    <w:rsid w:val="00D56DB5"/>
    <w:rsid w:val="00D656EE"/>
    <w:rsid w:val="00D66CEF"/>
    <w:rsid w:val="00D7063E"/>
    <w:rsid w:val="00D70DF3"/>
    <w:rsid w:val="00D74847"/>
    <w:rsid w:val="00D778A8"/>
    <w:rsid w:val="00D77B94"/>
    <w:rsid w:val="00D820FD"/>
    <w:rsid w:val="00D82390"/>
    <w:rsid w:val="00D84800"/>
    <w:rsid w:val="00D84F02"/>
    <w:rsid w:val="00D86013"/>
    <w:rsid w:val="00D8610F"/>
    <w:rsid w:val="00D86BCC"/>
    <w:rsid w:val="00D86D54"/>
    <w:rsid w:val="00D87330"/>
    <w:rsid w:val="00D8733C"/>
    <w:rsid w:val="00D90C4E"/>
    <w:rsid w:val="00D92DD7"/>
    <w:rsid w:val="00D92E8A"/>
    <w:rsid w:val="00D93684"/>
    <w:rsid w:val="00D94048"/>
    <w:rsid w:val="00DA1254"/>
    <w:rsid w:val="00DA1657"/>
    <w:rsid w:val="00DA1C32"/>
    <w:rsid w:val="00DA26BA"/>
    <w:rsid w:val="00DA4278"/>
    <w:rsid w:val="00DA5C9B"/>
    <w:rsid w:val="00DA78E8"/>
    <w:rsid w:val="00DA7937"/>
    <w:rsid w:val="00DB00FA"/>
    <w:rsid w:val="00DB1E2E"/>
    <w:rsid w:val="00DB37A2"/>
    <w:rsid w:val="00DB3A8F"/>
    <w:rsid w:val="00DB3CBE"/>
    <w:rsid w:val="00DB3D16"/>
    <w:rsid w:val="00DB6856"/>
    <w:rsid w:val="00DC1613"/>
    <w:rsid w:val="00DC2062"/>
    <w:rsid w:val="00DC2608"/>
    <w:rsid w:val="00DC2E07"/>
    <w:rsid w:val="00DC3363"/>
    <w:rsid w:val="00DC5D7E"/>
    <w:rsid w:val="00DD3942"/>
    <w:rsid w:val="00DD4720"/>
    <w:rsid w:val="00DD6723"/>
    <w:rsid w:val="00DE1EA1"/>
    <w:rsid w:val="00DE2679"/>
    <w:rsid w:val="00DE292C"/>
    <w:rsid w:val="00DE2A18"/>
    <w:rsid w:val="00DE31E8"/>
    <w:rsid w:val="00DE4164"/>
    <w:rsid w:val="00DE6C87"/>
    <w:rsid w:val="00DE6DAB"/>
    <w:rsid w:val="00DE79EA"/>
    <w:rsid w:val="00DF0B19"/>
    <w:rsid w:val="00DF2C8E"/>
    <w:rsid w:val="00DF4B12"/>
    <w:rsid w:val="00DF51E2"/>
    <w:rsid w:val="00DF5426"/>
    <w:rsid w:val="00DF6489"/>
    <w:rsid w:val="00DF7FE9"/>
    <w:rsid w:val="00E00AF0"/>
    <w:rsid w:val="00E0131B"/>
    <w:rsid w:val="00E03154"/>
    <w:rsid w:val="00E0444E"/>
    <w:rsid w:val="00E04F35"/>
    <w:rsid w:val="00E05048"/>
    <w:rsid w:val="00E052B2"/>
    <w:rsid w:val="00E057D4"/>
    <w:rsid w:val="00E06028"/>
    <w:rsid w:val="00E063C3"/>
    <w:rsid w:val="00E10959"/>
    <w:rsid w:val="00E11A65"/>
    <w:rsid w:val="00E155D1"/>
    <w:rsid w:val="00E15C25"/>
    <w:rsid w:val="00E15F2C"/>
    <w:rsid w:val="00E16132"/>
    <w:rsid w:val="00E176C4"/>
    <w:rsid w:val="00E177CF"/>
    <w:rsid w:val="00E20403"/>
    <w:rsid w:val="00E2093C"/>
    <w:rsid w:val="00E20C12"/>
    <w:rsid w:val="00E27ADF"/>
    <w:rsid w:val="00E31FFE"/>
    <w:rsid w:val="00E32096"/>
    <w:rsid w:val="00E357B1"/>
    <w:rsid w:val="00E35EDC"/>
    <w:rsid w:val="00E36470"/>
    <w:rsid w:val="00E36B1B"/>
    <w:rsid w:val="00E46E22"/>
    <w:rsid w:val="00E5035E"/>
    <w:rsid w:val="00E5113E"/>
    <w:rsid w:val="00E513CC"/>
    <w:rsid w:val="00E52591"/>
    <w:rsid w:val="00E52F9F"/>
    <w:rsid w:val="00E5382B"/>
    <w:rsid w:val="00E54088"/>
    <w:rsid w:val="00E557C8"/>
    <w:rsid w:val="00E55A37"/>
    <w:rsid w:val="00E56435"/>
    <w:rsid w:val="00E56470"/>
    <w:rsid w:val="00E57B58"/>
    <w:rsid w:val="00E6020C"/>
    <w:rsid w:val="00E61046"/>
    <w:rsid w:val="00E621C8"/>
    <w:rsid w:val="00E627C0"/>
    <w:rsid w:val="00E63581"/>
    <w:rsid w:val="00E6521C"/>
    <w:rsid w:val="00E72115"/>
    <w:rsid w:val="00E7242F"/>
    <w:rsid w:val="00E73782"/>
    <w:rsid w:val="00E739E5"/>
    <w:rsid w:val="00E74FAF"/>
    <w:rsid w:val="00E7555A"/>
    <w:rsid w:val="00E7742D"/>
    <w:rsid w:val="00E809C4"/>
    <w:rsid w:val="00E80CE2"/>
    <w:rsid w:val="00E8170B"/>
    <w:rsid w:val="00E81835"/>
    <w:rsid w:val="00E81980"/>
    <w:rsid w:val="00E83DD2"/>
    <w:rsid w:val="00E84E09"/>
    <w:rsid w:val="00E860D3"/>
    <w:rsid w:val="00E86EB5"/>
    <w:rsid w:val="00E87ECE"/>
    <w:rsid w:val="00E901EE"/>
    <w:rsid w:val="00E9091A"/>
    <w:rsid w:val="00E90AE7"/>
    <w:rsid w:val="00E90CE6"/>
    <w:rsid w:val="00E90D6A"/>
    <w:rsid w:val="00E92D0D"/>
    <w:rsid w:val="00E94015"/>
    <w:rsid w:val="00E954D7"/>
    <w:rsid w:val="00E95868"/>
    <w:rsid w:val="00E95EC2"/>
    <w:rsid w:val="00E979FB"/>
    <w:rsid w:val="00EA011D"/>
    <w:rsid w:val="00EA0ACC"/>
    <w:rsid w:val="00EA46ED"/>
    <w:rsid w:val="00EA4B09"/>
    <w:rsid w:val="00EA5D66"/>
    <w:rsid w:val="00EA5DAC"/>
    <w:rsid w:val="00EA6042"/>
    <w:rsid w:val="00EA63FB"/>
    <w:rsid w:val="00EA73BC"/>
    <w:rsid w:val="00EA7729"/>
    <w:rsid w:val="00EB1BFE"/>
    <w:rsid w:val="00EC4276"/>
    <w:rsid w:val="00EC4729"/>
    <w:rsid w:val="00EC48F5"/>
    <w:rsid w:val="00EC5227"/>
    <w:rsid w:val="00EC5A16"/>
    <w:rsid w:val="00EC6CD1"/>
    <w:rsid w:val="00EC70F6"/>
    <w:rsid w:val="00ED1B23"/>
    <w:rsid w:val="00ED20E4"/>
    <w:rsid w:val="00ED4DCD"/>
    <w:rsid w:val="00ED4F39"/>
    <w:rsid w:val="00ED6EFE"/>
    <w:rsid w:val="00ED7661"/>
    <w:rsid w:val="00ED7D47"/>
    <w:rsid w:val="00EE1744"/>
    <w:rsid w:val="00EE4F1D"/>
    <w:rsid w:val="00EF0A37"/>
    <w:rsid w:val="00EF0C3A"/>
    <w:rsid w:val="00EF1513"/>
    <w:rsid w:val="00EF567D"/>
    <w:rsid w:val="00F033CC"/>
    <w:rsid w:val="00F04B18"/>
    <w:rsid w:val="00F04E99"/>
    <w:rsid w:val="00F05005"/>
    <w:rsid w:val="00F052EC"/>
    <w:rsid w:val="00F068A2"/>
    <w:rsid w:val="00F0745C"/>
    <w:rsid w:val="00F10555"/>
    <w:rsid w:val="00F10D84"/>
    <w:rsid w:val="00F13666"/>
    <w:rsid w:val="00F14EDF"/>
    <w:rsid w:val="00F1584C"/>
    <w:rsid w:val="00F162F3"/>
    <w:rsid w:val="00F16892"/>
    <w:rsid w:val="00F22418"/>
    <w:rsid w:val="00F225B1"/>
    <w:rsid w:val="00F225BB"/>
    <w:rsid w:val="00F22AA6"/>
    <w:rsid w:val="00F344A0"/>
    <w:rsid w:val="00F35E30"/>
    <w:rsid w:val="00F370A1"/>
    <w:rsid w:val="00F41AD3"/>
    <w:rsid w:val="00F41CFA"/>
    <w:rsid w:val="00F42D34"/>
    <w:rsid w:val="00F44819"/>
    <w:rsid w:val="00F50605"/>
    <w:rsid w:val="00F50902"/>
    <w:rsid w:val="00F510CB"/>
    <w:rsid w:val="00F56576"/>
    <w:rsid w:val="00F57CE1"/>
    <w:rsid w:val="00F607D0"/>
    <w:rsid w:val="00F61B2B"/>
    <w:rsid w:val="00F62B95"/>
    <w:rsid w:val="00F7371C"/>
    <w:rsid w:val="00F73AA3"/>
    <w:rsid w:val="00F7555E"/>
    <w:rsid w:val="00F75D88"/>
    <w:rsid w:val="00F75E27"/>
    <w:rsid w:val="00F761C0"/>
    <w:rsid w:val="00F80617"/>
    <w:rsid w:val="00F80EB0"/>
    <w:rsid w:val="00F810CD"/>
    <w:rsid w:val="00F8338A"/>
    <w:rsid w:val="00F833C0"/>
    <w:rsid w:val="00F83D32"/>
    <w:rsid w:val="00F845A8"/>
    <w:rsid w:val="00F874DD"/>
    <w:rsid w:val="00F909E9"/>
    <w:rsid w:val="00F91D15"/>
    <w:rsid w:val="00F9382C"/>
    <w:rsid w:val="00F96366"/>
    <w:rsid w:val="00FA03A1"/>
    <w:rsid w:val="00FA07FD"/>
    <w:rsid w:val="00FA1DB6"/>
    <w:rsid w:val="00FA2310"/>
    <w:rsid w:val="00FA2772"/>
    <w:rsid w:val="00FA51E7"/>
    <w:rsid w:val="00FA6159"/>
    <w:rsid w:val="00FA7247"/>
    <w:rsid w:val="00FA72EC"/>
    <w:rsid w:val="00FB174A"/>
    <w:rsid w:val="00FB2C82"/>
    <w:rsid w:val="00FB33BB"/>
    <w:rsid w:val="00FB36C2"/>
    <w:rsid w:val="00FB395D"/>
    <w:rsid w:val="00FB4D4E"/>
    <w:rsid w:val="00FB4FED"/>
    <w:rsid w:val="00FB5C45"/>
    <w:rsid w:val="00FB79ED"/>
    <w:rsid w:val="00FB7F67"/>
    <w:rsid w:val="00FC0180"/>
    <w:rsid w:val="00FC13EE"/>
    <w:rsid w:val="00FC3F84"/>
    <w:rsid w:val="00FC5873"/>
    <w:rsid w:val="00FC5BBA"/>
    <w:rsid w:val="00FC7664"/>
    <w:rsid w:val="00FD065B"/>
    <w:rsid w:val="00FD1591"/>
    <w:rsid w:val="00FD2412"/>
    <w:rsid w:val="00FD284F"/>
    <w:rsid w:val="00FD69B3"/>
    <w:rsid w:val="00FE1720"/>
    <w:rsid w:val="00FE1CC8"/>
    <w:rsid w:val="00FE269E"/>
    <w:rsid w:val="00FE28D8"/>
    <w:rsid w:val="00FE381A"/>
    <w:rsid w:val="00FE4E18"/>
    <w:rsid w:val="00FE6DD7"/>
    <w:rsid w:val="00FF02BB"/>
    <w:rsid w:val="00FF081A"/>
    <w:rsid w:val="00FF1521"/>
    <w:rsid w:val="00FF1770"/>
    <w:rsid w:val="00FF5A1D"/>
    <w:rsid w:val="00FF66E9"/>
    <w:rsid w:val="0A814874"/>
    <w:rsid w:val="10AE23BA"/>
    <w:rsid w:val="151C8525"/>
    <w:rsid w:val="31BC8681"/>
    <w:rsid w:val="33D8FDBB"/>
    <w:rsid w:val="3D9D8781"/>
    <w:rsid w:val="3FBA84C3"/>
    <w:rsid w:val="4CB71317"/>
    <w:rsid w:val="4E62BD89"/>
    <w:rsid w:val="5614EEAB"/>
    <w:rsid w:val="593F3188"/>
    <w:rsid w:val="5FDC9F7E"/>
    <w:rsid w:val="65D20006"/>
    <w:rsid w:val="6E2F523A"/>
    <w:rsid w:val="6E54E2C3"/>
    <w:rsid w:val="7009291E"/>
    <w:rsid w:val="71B4D390"/>
    <w:rsid w:val="726E8429"/>
    <w:rsid w:val="7FC850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0AD0F"/>
  <w15:chartTrackingRefBased/>
  <w15:docId w15:val="{FFCA1454-B74A-4534-BEB6-A5196CED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53"/>
    <w:pPr>
      <w:tabs>
        <w:tab w:val="left" w:pos="284"/>
      </w:tabs>
      <w:spacing w:after="120" w:line="320" w:lineRule="exact"/>
    </w:pPr>
    <w:rPr>
      <w:rFonts w:ascii="Arial" w:eastAsiaTheme="minorEastAsia" w:hAnsi="Arial" w:cs="Times New Roman (Body CS)"/>
      <w:spacing w:val="10"/>
      <w:sz w:val="22"/>
    </w:rPr>
  </w:style>
  <w:style w:type="paragraph" w:styleId="Heading1">
    <w:name w:val="heading 1"/>
    <w:basedOn w:val="Normal"/>
    <w:next w:val="Normal"/>
    <w:link w:val="Heading1Char"/>
    <w:uiPriority w:val="9"/>
    <w:qFormat/>
    <w:rsid w:val="000B143C"/>
    <w:pPr>
      <w:keepNext/>
      <w:keepLines/>
      <w:spacing w:after="600" w:line="600" w:lineRule="exact"/>
      <w:outlineLvl w:val="0"/>
    </w:pPr>
    <w:rPr>
      <w:rFonts w:eastAsiaTheme="majorEastAsia" w:cs="Times New Roman (Headings CS)"/>
      <w:caps/>
      <w:color w:val="004241" w:themeColor="text1"/>
      <w:spacing w:val="30"/>
      <w:sz w:val="48"/>
      <w:szCs w:val="32"/>
    </w:rPr>
  </w:style>
  <w:style w:type="paragraph" w:styleId="Heading2">
    <w:name w:val="heading 2"/>
    <w:basedOn w:val="Normal"/>
    <w:next w:val="Normal"/>
    <w:link w:val="Heading2Char"/>
    <w:autoRedefine/>
    <w:uiPriority w:val="9"/>
    <w:unhideWhenUsed/>
    <w:qFormat/>
    <w:rsid w:val="008A0CFC"/>
    <w:pPr>
      <w:keepNext/>
      <w:keepLines/>
      <w:shd w:val="clear" w:color="auto" w:fill="FFFFFF"/>
      <w:spacing w:before="1200" w:after="0" w:line="400" w:lineRule="exact"/>
      <w:outlineLvl w:val="1"/>
    </w:pPr>
    <w:rPr>
      <w:rFonts w:eastAsiaTheme="majorEastAsia" w:cs="Times New Roman (Headings CS)"/>
      <w:b/>
      <w:color w:val="F08717" w:themeColor="accent1"/>
      <w:spacing w:val="0"/>
      <w:sz w:val="40"/>
      <w:szCs w:val="26"/>
    </w:rPr>
  </w:style>
  <w:style w:type="paragraph" w:styleId="Heading3">
    <w:name w:val="heading 3"/>
    <w:basedOn w:val="Normal"/>
    <w:next w:val="Normal"/>
    <w:link w:val="Heading3Char"/>
    <w:uiPriority w:val="9"/>
    <w:unhideWhenUsed/>
    <w:qFormat/>
    <w:rsid w:val="000B143C"/>
    <w:pPr>
      <w:keepNext/>
      <w:keepLines/>
      <w:outlineLvl w:val="2"/>
    </w:pPr>
    <w:rPr>
      <w:rFonts w:eastAsiaTheme="majorEastAsia" w:cstheme="majorBidi"/>
      <w:b/>
      <w:color w:val="24B1AB"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D0C0D"/>
    <w:rPr>
      <w:rFonts w:ascii="Arial" w:hAnsi="Arial"/>
      <w:b/>
      <w:bCs/>
      <w:i w:val="0"/>
      <w:iCs/>
      <w:caps/>
      <w:smallCaps w:val="0"/>
      <w:strike w:val="0"/>
      <w:dstrike w:val="0"/>
      <w:vanish w:val="0"/>
      <w:spacing w:val="30"/>
      <w:sz w:val="96"/>
      <w:vertAlign w:val="baseline"/>
    </w:rPr>
  </w:style>
  <w:style w:type="paragraph" w:styleId="Title">
    <w:name w:val="Title"/>
    <w:basedOn w:val="Normal"/>
    <w:next w:val="Normal"/>
    <w:link w:val="TitleChar"/>
    <w:uiPriority w:val="10"/>
    <w:qFormat/>
    <w:rsid w:val="00DB1E2E"/>
    <w:pPr>
      <w:spacing w:after="360" w:line="240" w:lineRule="auto"/>
      <w:contextualSpacing/>
    </w:pPr>
    <w:rPr>
      <w:rFonts w:eastAsiaTheme="majorEastAsia" w:cs="Times New Roman (Headings CS)"/>
      <w:caps/>
      <w:color w:val="FFFFFF" w:themeColor="background1"/>
      <w:spacing w:val="30"/>
      <w:kern w:val="28"/>
      <w:sz w:val="52"/>
      <w:szCs w:val="56"/>
    </w:rPr>
  </w:style>
  <w:style w:type="character" w:customStyle="1" w:styleId="TitleChar">
    <w:name w:val="Title Char"/>
    <w:basedOn w:val="DefaultParagraphFont"/>
    <w:link w:val="Title"/>
    <w:uiPriority w:val="10"/>
    <w:rsid w:val="00DB1E2E"/>
    <w:rPr>
      <w:rFonts w:ascii="Arial" w:eastAsiaTheme="majorEastAsia" w:hAnsi="Arial" w:cs="Times New Roman (Headings CS)"/>
      <w:caps/>
      <w:color w:val="FFFFFF" w:themeColor="background1"/>
      <w:spacing w:val="30"/>
      <w:kern w:val="28"/>
      <w:sz w:val="52"/>
      <w:szCs w:val="56"/>
    </w:rPr>
  </w:style>
  <w:style w:type="paragraph" w:styleId="NoSpacing">
    <w:name w:val="No Spacing"/>
    <w:uiPriority w:val="1"/>
    <w:qFormat/>
    <w:rsid w:val="00FE4E18"/>
    <w:pPr>
      <w:tabs>
        <w:tab w:val="left" w:pos="284"/>
      </w:tabs>
    </w:pPr>
    <w:rPr>
      <w:rFonts w:ascii="Arial" w:eastAsiaTheme="minorEastAsia" w:hAnsi="Arial" w:cs="Times New Roman (Body CS)"/>
      <w:spacing w:val="10"/>
      <w:sz w:val="22"/>
    </w:rPr>
  </w:style>
  <w:style w:type="table" w:styleId="TableGrid">
    <w:name w:val="Table Grid"/>
    <w:basedOn w:val="TableNormal"/>
    <w:uiPriority w:val="39"/>
    <w:rsid w:val="00D56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5E47"/>
    <w:rPr>
      <w:rFonts w:ascii="Arial" w:hAnsi="Arial"/>
      <w:b/>
      <w:bCs/>
      <w:i w:val="0"/>
      <w:spacing w:val="10"/>
      <w:sz w:val="24"/>
    </w:rPr>
  </w:style>
  <w:style w:type="character" w:customStyle="1" w:styleId="Heading1Char">
    <w:name w:val="Heading 1 Char"/>
    <w:basedOn w:val="DefaultParagraphFont"/>
    <w:link w:val="Heading1"/>
    <w:uiPriority w:val="9"/>
    <w:rsid w:val="000B143C"/>
    <w:rPr>
      <w:rFonts w:ascii="Arial" w:eastAsiaTheme="majorEastAsia" w:hAnsi="Arial" w:cs="Times New Roman (Headings CS)"/>
      <w:caps/>
      <w:color w:val="004241" w:themeColor="text1"/>
      <w:spacing w:val="30"/>
      <w:sz w:val="48"/>
      <w:szCs w:val="32"/>
    </w:rPr>
  </w:style>
  <w:style w:type="character" w:customStyle="1" w:styleId="Heading2Char">
    <w:name w:val="Heading 2 Char"/>
    <w:basedOn w:val="DefaultParagraphFont"/>
    <w:link w:val="Heading2"/>
    <w:uiPriority w:val="9"/>
    <w:rsid w:val="008A0CFC"/>
    <w:rPr>
      <w:rFonts w:ascii="Arial" w:eastAsiaTheme="majorEastAsia" w:hAnsi="Arial" w:cs="Times New Roman (Headings CS)"/>
      <w:b/>
      <w:color w:val="F08717" w:themeColor="accent1"/>
      <w:sz w:val="40"/>
      <w:szCs w:val="26"/>
      <w:shd w:val="clear" w:color="auto" w:fill="FFFFFF"/>
    </w:rPr>
  </w:style>
  <w:style w:type="character" w:customStyle="1" w:styleId="Heading3Char">
    <w:name w:val="Heading 3 Char"/>
    <w:basedOn w:val="DefaultParagraphFont"/>
    <w:link w:val="Heading3"/>
    <w:uiPriority w:val="9"/>
    <w:rsid w:val="000B143C"/>
    <w:rPr>
      <w:rFonts w:ascii="Arial" w:eastAsiaTheme="majorEastAsia" w:hAnsi="Arial" w:cstheme="majorBidi"/>
      <w:b/>
      <w:color w:val="24B1AB" w:themeColor="accent2"/>
      <w:spacing w:val="10"/>
    </w:rPr>
  </w:style>
  <w:style w:type="character" w:styleId="Hyperlink">
    <w:name w:val="Hyperlink"/>
    <w:basedOn w:val="DefaultParagraphFont"/>
    <w:uiPriority w:val="99"/>
    <w:unhideWhenUsed/>
    <w:rsid w:val="00FC13EE"/>
    <w:rPr>
      <w:rFonts w:ascii="Arial" w:hAnsi="Arial"/>
      <w:b w:val="0"/>
      <w:color w:val="24B1AB" w:themeColor="accent2"/>
      <w:sz w:val="22"/>
      <w:u w:val="none"/>
    </w:rPr>
  </w:style>
  <w:style w:type="character" w:styleId="UnresolvedMention">
    <w:name w:val="Unresolved Mention"/>
    <w:basedOn w:val="DefaultParagraphFont"/>
    <w:uiPriority w:val="99"/>
    <w:semiHidden/>
    <w:unhideWhenUsed/>
    <w:rsid w:val="00833B5A"/>
    <w:rPr>
      <w:rFonts w:ascii="Arial" w:hAnsi="Arial"/>
      <w:color w:val="605E5C"/>
      <w:sz w:val="22"/>
      <w:shd w:val="clear" w:color="auto" w:fill="E1DFDD"/>
    </w:rPr>
  </w:style>
  <w:style w:type="paragraph" w:styleId="ListParagraph">
    <w:name w:val="List Paragraph"/>
    <w:basedOn w:val="Normal"/>
    <w:uiPriority w:val="34"/>
    <w:qFormat/>
    <w:rsid w:val="00B15F1E"/>
    <w:pPr>
      <w:ind w:left="720"/>
      <w:contextualSpacing/>
    </w:pPr>
  </w:style>
  <w:style w:type="paragraph" w:styleId="TableofFigures">
    <w:name w:val="table of figures"/>
    <w:basedOn w:val="Normal"/>
    <w:next w:val="Normal"/>
    <w:uiPriority w:val="99"/>
    <w:unhideWhenUsed/>
    <w:rsid w:val="003F0301"/>
    <w:pPr>
      <w:tabs>
        <w:tab w:val="clear" w:pos="284"/>
      </w:tabs>
      <w:spacing w:after="0"/>
    </w:pPr>
  </w:style>
  <w:style w:type="table" w:styleId="GridTable4-Accent6">
    <w:name w:val="Grid Table 4 Accent 6"/>
    <w:basedOn w:val="TableNormal"/>
    <w:uiPriority w:val="49"/>
    <w:rsid w:val="00B15F1E"/>
    <w:tblPr>
      <w:tblStyleRowBandSize w:val="1"/>
      <w:tblStyleColBandSize w:val="1"/>
      <w:tblBorders>
        <w:top w:val="single" w:sz="4" w:space="0" w:color="FFA6A6" w:themeColor="accent6" w:themeTint="99"/>
        <w:left w:val="single" w:sz="4" w:space="0" w:color="FFA6A6" w:themeColor="accent6" w:themeTint="99"/>
        <w:bottom w:val="single" w:sz="4" w:space="0" w:color="FFA6A6" w:themeColor="accent6" w:themeTint="99"/>
        <w:right w:val="single" w:sz="4" w:space="0" w:color="FFA6A6" w:themeColor="accent6" w:themeTint="99"/>
        <w:insideH w:val="single" w:sz="4" w:space="0" w:color="FFA6A6" w:themeColor="accent6" w:themeTint="99"/>
        <w:insideV w:val="single" w:sz="4" w:space="0" w:color="FFA6A6" w:themeColor="accent6" w:themeTint="99"/>
      </w:tblBorders>
    </w:tblPr>
    <w:tblStylePr w:type="firstRow">
      <w:rPr>
        <w:b/>
        <w:bCs/>
        <w:color w:val="FFFFFF" w:themeColor="background1"/>
      </w:rPr>
      <w:tblPr/>
      <w:tcPr>
        <w:tcBorders>
          <w:top w:val="single" w:sz="4" w:space="0" w:color="FF6B6B" w:themeColor="accent6"/>
          <w:left w:val="single" w:sz="4" w:space="0" w:color="FF6B6B" w:themeColor="accent6"/>
          <w:bottom w:val="single" w:sz="4" w:space="0" w:color="FF6B6B" w:themeColor="accent6"/>
          <w:right w:val="single" w:sz="4" w:space="0" w:color="FF6B6B" w:themeColor="accent6"/>
          <w:insideH w:val="nil"/>
          <w:insideV w:val="nil"/>
        </w:tcBorders>
        <w:shd w:val="clear" w:color="auto" w:fill="FF6B6B" w:themeFill="accent6"/>
      </w:tcPr>
    </w:tblStylePr>
    <w:tblStylePr w:type="lastRow">
      <w:rPr>
        <w:b/>
        <w:bCs/>
      </w:rPr>
      <w:tblPr/>
      <w:tcPr>
        <w:tcBorders>
          <w:top w:val="double" w:sz="4" w:space="0" w:color="FF6B6B" w:themeColor="accent6"/>
        </w:tcBorders>
      </w:tcPr>
    </w:tblStylePr>
    <w:tblStylePr w:type="firstCol">
      <w:rPr>
        <w:b/>
        <w:bCs/>
      </w:rPr>
    </w:tblStylePr>
    <w:tblStylePr w:type="lastCol">
      <w:rPr>
        <w:b/>
        <w:bCs/>
      </w:rPr>
    </w:tblStylePr>
    <w:tblStylePr w:type="band1Vert">
      <w:tblPr/>
      <w:tcPr>
        <w:shd w:val="clear" w:color="auto" w:fill="FFE1E1" w:themeFill="accent6" w:themeFillTint="33"/>
      </w:tcPr>
    </w:tblStylePr>
    <w:tblStylePr w:type="band1Horz">
      <w:tblPr/>
      <w:tcPr>
        <w:shd w:val="clear" w:color="auto" w:fill="FFE1E1" w:themeFill="accent6" w:themeFillTint="33"/>
      </w:tcPr>
    </w:tblStylePr>
  </w:style>
  <w:style w:type="table" w:styleId="GridTable4-Accent1">
    <w:name w:val="Grid Table 4 Accent 1"/>
    <w:basedOn w:val="TableNormal"/>
    <w:uiPriority w:val="49"/>
    <w:rsid w:val="00B15F1E"/>
    <w:tblPr>
      <w:tblStyleRowBandSize w:val="1"/>
      <w:tblStyleColBandSize w:val="1"/>
      <w:tblBorders>
        <w:top w:val="single" w:sz="4" w:space="0" w:color="F6B673" w:themeColor="accent1" w:themeTint="99"/>
        <w:left w:val="single" w:sz="4" w:space="0" w:color="F6B673" w:themeColor="accent1" w:themeTint="99"/>
        <w:bottom w:val="single" w:sz="4" w:space="0" w:color="F6B673" w:themeColor="accent1" w:themeTint="99"/>
        <w:right w:val="single" w:sz="4" w:space="0" w:color="F6B673" w:themeColor="accent1" w:themeTint="99"/>
        <w:insideH w:val="single" w:sz="4" w:space="0" w:color="F6B673" w:themeColor="accent1" w:themeTint="99"/>
        <w:insideV w:val="single" w:sz="4" w:space="0" w:color="F6B673" w:themeColor="accent1" w:themeTint="99"/>
      </w:tblBorders>
    </w:tblPr>
    <w:tblStylePr w:type="firstRow">
      <w:rPr>
        <w:b/>
        <w:bCs/>
        <w:color w:val="FFFFFF" w:themeColor="background1"/>
      </w:rPr>
      <w:tblPr/>
      <w:tcPr>
        <w:tcBorders>
          <w:top w:val="single" w:sz="4" w:space="0" w:color="F08717" w:themeColor="accent1"/>
          <w:left w:val="single" w:sz="4" w:space="0" w:color="F08717" w:themeColor="accent1"/>
          <w:bottom w:val="single" w:sz="4" w:space="0" w:color="F08717" w:themeColor="accent1"/>
          <w:right w:val="single" w:sz="4" w:space="0" w:color="F08717" w:themeColor="accent1"/>
          <w:insideH w:val="nil"/>
          <w:insideV w:val="nil"/>
        </w:tcBorders>
        <w:shd w:val="clear" w:color="auto" w:fill="F08717" w:themeFill="accent1"/>
      </w:tcPr>
    </w:tblStylePr>
    <w:tblStylePr w:type="lastRow">
      <w:rPr>
        <w:b/>
        <w:bCs/>
      </w:rPr>
      <w:tblPr/>
      <w:tcPr>
        <w:tcBorders>
          <w:top w:val="double" w:sz="4" w:space="0" w:color="F08717" w:themeColor="accent1"/>
        </w:tcBorders>
      </w:tcPr>
    </w:tblStylePr>
    <w:tblStylePr w:type="firstCol">
      <w:rPr>
        <w:b/>
        <w:bCs/>
      </w:rPr>
    </w:tblStylePr>
    <w:tblStylePr w:type="lastCol">
      <w:rPr>
        <w:b/>
        <w:bCs/>
      </w:rPr>
    </w:tblStylePr>
    <w:tblStylePr w:type="band1Vert">
      <w:tblPr/>
      <w:tcPr>
        <w:shd w:val="clear" w:color="auto" w:fill="FCE6D0" w:themeFill="accent1" w:themeFillTint="33"/>
      </w:tcPr>
    </w:tblStylePr>
    <w:tblStylePr w:type="band1Horz">
      <w:tblPr/>
      <w:tcPr>
        <w:shd w:val="clear" w:color="auto" w:fill="FCE6D0" w:themeFill="accent1" w:themeFillTint="33"/>
      </w:tcPr>
    </w:tblStylePr>
  </w:style>
  <w:style w:type="table" w:styleId="GridTable5Dark-Accent6">
    <w:name w:val="Grid Table 5 Dark Accent 6"/>
    <w:basedOn w:val="TableNormal"/>
    <w:uiPriority w:val="50"/>
    <w:rsid w:val="00B15F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B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B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B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B6B" w:themeFill="accent6"/>
      </w:tcPr>
    </w:tblStylePr>
    <w:tblStylePr w:type="band1Vert">
      <w:tblPr/>
      <w:tcPr>
        <w:shd w:val="clear" w:color="auto" w:fill="FFC3C3" w:themeFill="accent6" w:themeFillTint="66"/>
      </w:tcPr>
    </w:tblStylePr>
    <w:tblStylePr w:type="band1Horz">
      <w:tblPr/>
      <w:tcPr>
        <w:shd w:val="clear" w:color="auto" w:fill="FFC3C3" w:themeFill="accent6" w:themeFillTint="66"/>
      </w:tcPr>
    </w:tblStylePr>
  </w:style>
  <w:style w:type="paragraph" w:styleId="ListBullet">
    <w:name w:val="List Bullet"/>
    <w:basedOn w:val="Normal"/>
    <w:uiPriority w:val="99"/>
    <w:unhideWhenUsed/>
    <w:rsid w:val="003F0301"/>
    <w:pPr>
      <w:numPr>
        <w:numId w:val="1"/>
      </w:numPr>
      <w:contextualSpacing/>
    </w:pPr>
  </w:style>
  <w:style w:type="table" w:styleId="GridTable1Light-Accent1">
    <w:name w:val="Grid Table 1 Light Accent 1"/>
    <w:basedOn w:val="TableNormal"/>
    <w:uiPriority w:val="46"/>
    <w:rsid w:val="003F0301"/>
    <w:tblPr>
      <w:tblStyleRowBandSize w:val="1"/>
      <w:tblStyleColBandSize w:val="1"/>
      <w:tblBorders>
        <w:top w:val="single" w:sz="4" w:space="0" w:color="F9CEA2" w:themeColor="accent1" w:themeTint="66"/>
        <w:left w:val="single" w:sz="4" w:space="0" w:color="F9CEA2" w:themeColor="accent1" w:themeTint="66"/>
        <w:bottom w:val="single" w:sz="4" w:space="0" w:color="F9CEA2" w:themeColor="accent1" w:themeTint="66"/>
        <w:right w:val="single" w:sz="4" w:space="0" w:color="F9CEA2" w:themeColor="accent1" w:themeTint="66"/>
        <w:insideH w:val="single" w:sz="4" w:space="0" w:color="F9CEA2" w:themeColor="accent1" w:themeTint="66"/>
        <w:insideV w:val="single" w:sz="4" w:space="0" w:color="F9CEA2" w:themeColor="accent1" w:themeTint="66"/>
      </w:tblBorders>
    </w:tblPr>
    <w:tblStylePr w:type="firstRow">
      <w:rPr>
        <w:b/>
        <w:bCs/>
      </w:rPr>
      <w:tblPr/>
      <w:tcPr>
        <w:tcBorders>
          <w:bottom w:val="single" w:sz="12" w:space="0" w:color="F6B673" w:themeColor="accent1" w:themeTint="99"/>
        </w:tcBorders>
      </w:tcPr>
    </w:tblStylePr>
    <w:tblStylePr w:type="lastRow">
      <w:rPr>
        <w:b/>
        <w:bCs/>
      </w:rPr>
      <w:tblPr/>
      <w:tcPr>
        <w:tcBorders>
          <w:top w:val="double" w:sz="2" w:space="0" w:color="F6B673"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810CD"/>
    <w:pPr>
      <w:tabs>
        <w:tab w:val="clear" w:pos="284"/>
        <w:tab w:val="center" w:pos="4680"/>
        <w:tab w:val="right" w:pos="9360"/>
      </w:tabs>
      <w:spacing w:after="0" w:line="240" w:lineRule="auto"/>
    </w:pPr>
  </w:style>
  <w:style w:type="character" w:customStyle="1" w:styleId="HeaderChar">
    <w:name w:val="Header Char"/>
    <w:basedOn w:val="DefaultParagraphFont"/>
    <w:link w:val="Header"/>
    <w:uiPriority w:val="99"/>
    <w:rsid w:val="00F810CD"/>
    <w:rPr>
      <w:rFonts w:ascii="Arial" w:eastAsiaTheme="minorEastAsia" w:hAnsi="Arial" w:cs="Times New Roman (Body CS)"/>
      <w:spacing w:val="10"/>
      <w:sz w:val="22"/>
    </w:rPr>
  </w:style>
  <w:style w:type="paragraph" w:styleId="Footer">
    <w:name w:val="footer"/>
    <w:basedOn w:val="Normal"/>
    <w:link w:val="FooterChar"/>
    <w:uiPriority w:val="99"/>
    <w:unhideWhenUsed/>
    <w:rsid w:val="00354730"/>
    <w:pPr>
      <w:tabs>
        <w:tab w:val="clear" w:pos="284"/>
        <w:tab w:val="center" w:pos="4680"/>
        <w:tab w:val="right" w:pos="9360"/>
        <w:tab w:val="right" w:pos="9639"/>
      </w:tabs>
      <w:spacing w:after="0" w:line="240" w:lineRule="auto"/>
    </w:pPr>
    <w:rPr>
      <w:caps/>
      <w:color w:val="E0E1D8" w:themeColor="background2"/>
      <w:sz w:val="18"/>
    </w:rPr>
  </w:style>
  <w:style w:type="character" w:customStyle="1" w:styleId="FooterChar">
    <w:name w:val="Footer Char"/>
    <w:basedOn w:val="DefaultParagraphFont"/>
    <w:link w:val="Footer"/>
    <w:uiPriority w:val="99"/>
    <w:rsid w:val="00354730"/>
    <w:rPr>
      <w:rFonts w:ascii="Arial" w:eastAsiaTheme="minorEastAsia" w:hAnsi="Arial" w:cs="Times New Roman (Body CS)"/>
      <w:caps/>
      <w:color w:val="E0E1D8" w:themeColor="background2"/>
      <w:spacing w:val="10"/>
      <w:sz w:val="18"/>
    </w:rPr>
  </w:style>
  <w:style w:type="paragraph" w:styleId="Caption">
    <w:name w:val="caption"/>
    <w:basedOn w:val="Normal"/>
    <w:next w:val="Normal"/>
    <w:uiPriority w:val="35"/>
    <w:unhideWhenUsed/>
    <w:qFormat/>
    <w:rsid w:val="00EE1744"/>
    <w:pPr>
      <w:spacing w:line="260" w:lineRule="exact"/>
    </w:pPr>
    <w:rPr>
      <w:i/>
      <w:iCs/>
      <w:color w:val="575970" w:themeColor="text2"/>
      <w:sz w:val="20"/>
      <w:szCs w:val="18"/>
    </w:rPr>
  </w:style>
  <w:style w:type="table" w:styleId="GridTable4-Accent2">
    <w:name w:val="Grid Table 4 Accent 2"/>
    <w:basedOn w:val="TableNormal"/>
    <w:uiPriority w:val="49"/>
    <w:rsid w:val="000B143C"/>
    <w:tblPr>
      <w:tblStyleRowBandSize w:val="1"/>
      <w:tblStyleColBandSize w:val="1"/>
      <w:tblBorders>
        <w:top w:val="single" w:sz="4" w:space="0" w:color="6AE0DB" w:themeColor="accent2" w:themeTint="99"/>
        <w:left w:val="single" w:sz="4" w:space="0" w:color="6AE0DB" w:themeColor="accent2" w:themeTint="99"/>
        <w:bottom w:val="single" w:sz="4" w:space="0" w:color="6AE0DB" w:themeColor="accent2" w:themeTint="99"/>
        <w:right w:val="single" w:sz="4" w:space="0" w:color="6AE0DB" w:themeColor="accent2" w:themeTint="99"/>
        <w:insideH w:val="single" w:sz="4" w:space="0" w:color="6AE0DB" w:themeColor="accent2" w:themeTint="99"/>
        <w:insideV w:val="single" w:sz="4" w:space="0" w:color="6AE0DB" w:themeColor="accent2" w:themeTint="99"/>
      </w:tblBorders>
    </w:tblPr>
    <w:tblStylePr w:type="firstRow">
      <w:rPr>
        <w:b/>
        <w:bCs/>
        <w:color w:val="FFFFFF" w:themeColor="background1"/>
      </w:rPr>
      <w:tblPr/>
      <w:tcPr>
        <w:tcBorders>
          <w:top w:val="single" w:sz="4" w:space="0" w:color="24B1AB" w:themeColor="accent2"/>
          <w:left w:val="single" w:sz="4" w:space="0" w:color="24B1AB" w:themeColor="accent2"/>
          <w:bottom w:val="single" w:sz="4" w:space="0" w:color="24B1AB" w:themeColor="accent2"/>
          <w:right w:val="single" w:sz="4" w:space="0" w:color="24B1AB" w:themeColor="accent2"/>
          <w:insideH w:val="nil"/>
          <w:insideV w:val="nil"/>
        </w:tcBorders>
        <w:shd w:val="clear" w:color="auto" w:fill="24B1AB" w:themeFill="accent2"/>
      </w:tcPr>
    </w:tblStylePr>
    <w:tblStylePr w:type="lastRow">
      <w:rPr>
        <w:b/>
        <w:bCs/>
      </w:rPr>
      <w:tblPr/>
      <w:tcPr>
        <w:tcBorders>
          <w:top w:val="double" w:sz="4" w:space="0" w:color="24B1AB" w:themeColor="accent2"/>
        </w:tcBorders>
      </w:tcPr>
    </w:tblStylePr>
    <w:tblStylePr w:type="firstCol">
      <w:rPr>
        <w:b/>
        <w:bCs/>
      </w:rPr>
    </w:tblStylePr>
    <w:tblStylePr w:type="lastCol">
      <w:rPr>
        <w:b/>
        <w:bCs/>
      </w:rPr>
    </w:tblStylePr>
    <w:tblStylePr w:type="band1Vert">
      <w:tblPr/>
      <w:tcPr>
        <w:shd w:val="clear" w:color="auto" w:fill="CDF5F3" w:themeFill="accent2" w:themeFillTint="33"/>
      </w:tcPr>
    </w:tblStylePr>
    <w:tblStylePr w:type="band1Horz">
      <w:tblPr/>
      <w:tcPr>
        <w:shd w:val="clear" w:color="auto" w:fill="CDF5F3" w:themeFill="accent2" w:themeFillTint="33"/>
      </w:tcPr>
    </w:tblStylePr>
  </w:style>
  <w:style w:type="table" w:styleId="PlainTable5">
    <w:name w:val="Plain Table 5"/>
    <w:basedOn w:val="TableNormal"/>
    <w:uiPriority w:val="45"/>
    <w:rsid w:val="000B14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FFF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FFF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FFF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FFF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B143C"/>
    <w:tblPr>
      <w:tblStyleRowBandSize w:val="1"/>
      <w:tblStyleColBandSize w:val="1"/>
    </w:tblPr>
    <w:tblStylePr w:type="firstRow">
      <w:rPr>
        <w:b/>
        <w:bCs/>
        <w:caps/>
      </w:rPr>
      <w:tblPr/>
      <w:tcPr>
        <w:tcBorders>
          <w:bottom w:val="single" w:sz="4" w:space="0" w:color="20FFF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0FFF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14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0B14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5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B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B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B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B1AB" w:themeFill="accent2"/>
      </w:tcPr>
    </w:tblStylePr>
    <w:tblStylePr w:type="band1Vert">
      <w:tblPr/>
      <w:tcPr>
        <w:shd w:val="clear" w:color="auto" w:fill="9CEBE7" w:themeFill="accent2" w:themeFillTint="66"/>
      </w:tcPr>
    </w:tblStylePr>
    <w:tblStylePr w:type="band1Horz">
      <w:tblPr/>
      <w:tcPr>
        <w:shd w:val="clear" w:color="auto" w:fill="9CEBE7" w:themeFill="accent2" w:themeFillTint="66"/>
      </w:tcPr>
    </w:tblStylePr>
  </w:style>
  <w:style w:type="table" w:styleId="GridTable3-Accent1">
    <w:name w:val="Grid Table 3 Accent 1"/>
    <w:basedOn w:val="TableNormal"/>
    <w:uiPriority w:val="48"/>
    <w:rsid w:val="000B143C"/>
    <w:tblPr>
      <w:tblStyleRowBandSize w:val="1"/>
      <w:tblStyleColBandSize w:val="1"/>
      <w:tblBorders>
        <w:top w:val="single" w:sz="4" w:space="0" w:color="F6B673" w:themeColor="accent1" w:themeTint="99"/>
        <w:left w:val="single" w:sz="4" w:space="0" w:color="F6B673" w:themeColor="accent1" w:themeTint="99"/>
        <w:bottom w:val="single" w:sz="4" w:space="0" w:color="F6B673" w:themeColor="accent1" w:themeTint="99"/>
        <w:right w:val="single" w:sz="4" w:space="0" w:color="F6B673" w:themeColor="accent1" w:themeTint="99"/>
        <w:insideH w:val="single" w:sz="4" w:space="0" w:color="F6B673" w:themeColor="accent1" w:themeTint="99"/>
        <w:insideV w:val="single" w:sz="4" w:space="0" w:color="F6B6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0" w:themeFill="accent1" w:themeFillTint="33"/>
      </w:tcPr>
    </w:tblStylePr>
    <w:tblStylePr w:type="band1Horz">
      <w:tblPr/>
      <w:tcPr>
        <w:shd w:val="clear" w:color="auto" w:fill="FCE6D0" w:themeFill="accent1" w:themeFillTint="33"/>
      </w:tcPr>
    </w:tblStylePr>
    <w:tblStylePr w:type="neCell">
      <w:tblPr/>
      <w:tcPr>
        <w:tcBorders>
          <w:bottom w:val="single" w:sz="4" w:space="0" w:color="F6B673" w:themeColor="accent1" w:themeTint="99"/>
        </w:tcBorders>
      </w:tcPr>
    </w:tblStylePr>
    <w:tblStylePr w:type="nwCell">
      <w:tblPr/>
      <w:tcPr>
        <w:tcBorders>
          <w:bottom w:val="single" w:sz="4" w:space="0" w:color="F6B673" w:themeColor="accent1" w:themeTint="99"/>
        </w:tcBorders>
      </w:tcPr>
    </w:tblStylePr>
    <w:tblStylePr w:type="seCell">
      <w:tblPr/>
      <w:tcPr>
        <w:tcBorders>
          <w:top w:val="single" w:sz="4" w:space="0" w:color="F6B673" w:themeColor="accent1" w:themeTint="99"/>
        </w:tcBorders>
      </w:tcPr>
    </w:tblStylePr>
    <w:tblStylePr w:type="swCell">
      <w:tblPr/>
      <w:tcPr>
        <w:tcBorders>
          <w:top w:val="single" w:sz="4" w:space="0" w:color="F6B673" w:themeColor="accent1" w:themeTint="99"/>
        </w:tcBorders>
      </w:tcPr>
    </w:tblStylePr>
  </w:style>
  <w:style w:type="character" w:styleId="FollowedHyperlink">
    <w:name w:val="FollowedHyperlink"/>
    <w:basedOn w:val="DefaultParagraphFont"/>
    <w:uiPriority w:val="99"/>
    <w:semiHidden/>
    <w:unhideWhenUsed/>
    <w:rsid w:val="00FC13EE"/>
    <w:rPr>
      <w:color w:val="B173B1" w:themeColor="followedHyperlink"/>
      <w:u w:val="single"/>
    </w:rPr>
  </w:style>
  <w:style w:type="table" w:styleId="ListTable3-Accent2">
    <w:name w:val="List Table 3 Accent 2"/>
    <w:basedOn w:val="TableNormal"/>
    <w:uiPriority w:val="48"/>
    <w:rsid w:val="004773D4"/>
    <w:tblPr>
      <w:tblStyleRowBandSize w:val="1"/>
      <w:tblStyleColBandSize w:val="1"/>
      <w:tblBorders>
        <w:top w:val="single" w:sz="4" w:space="0" w:color="24B1AB" w:themeColor="accent2"/>
        <w:left w:val="single" w:sz="4" w:space="0" w:color="24B1AB" w:themeColor="accent2"/>
        <w:bottom w:val="single" w:sz="4" w:space="0" w:color="24B1AB" w:themeColor="accent2"/>
        <w:right w:val="single" w:sz="4" w:space="0" w:color="24B1AB" w:themeColor="accent2"/>
      </w:tblBorders>
    </w:tblPr>
    <w:tblStylePr w:type="firstRow">
      <w:rPr>
        <w:b/>
        <w:bCs/>
        <w:color w:val="FFFFFF" w:themeColor="background1"/>
      </w:rPr>
      <w:tblPr/>
      <w:tcPr>
        <w:shd w:val="clear" w:color="auto" w:fill="24B1AB" w:themeFill="accent2"/>
      </w:tcPr>
    </w:tblStylePr>
    <w:tblStylePr w:type="lastRow">
      <w:rPr>
        <w:b/>
        <w:bCs/>
      </w:rPr>
      <w:tblPr/>
      <w:tcPr>
        <w:tcBorders>
          <w:top w:val="double" w:sz="4" w:space="0" w:color="24B1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B1AB" w:themeColor="accent2"/>
          <w:right w:val="single" w:sz="4" w:space="0" w:color="24B1AB" w:themeColor="accent2"/>
        </w:tcBorders>
      </w:tcPr>
    </w:tblStylePr>
    <w:tblStylePr w:type="band1Horz">
      <w:tblPr/>
      <w:tcPr>
        <w:tcBorders>
          <w:top w:val="single" w:sz="4" w:space="0" w:color="24B1AB" w:themeColor="accent2"/>
          <w:bottom w:val="single" w:sz="4" w:space="0" w:color="24B1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B1AB" w:themeColor="accent2"/>
          <w:left w:val="nil"/>
        </w:tcBorders>
      </w:tcPr>
    </w:tblStylePr>
    <w:tblStylePr w:type="swCell">
      <w:tblPr/>
      <w:tcPr>
        <w:tcBorders>
          <w:top w:val="double" w:sz="4" w:space="0" w:color="24B1AB" w:themeColor="accent2"/>
          <w:right w:val="nil"/>
        </w:tcBorders>
      </w:tcPr>
    </w:tblStylePr>
  </w:style>
  <w:style w:type="paragraph" w:customStyle="1" w:styleId="Default">
    <w:name w:val="Default"/>
    <w:rsid w:val="00450304"/>
    <w:pPr>
      <w:autoSpaceDE w:val="0"/>
      <w:autoSpaceDN w:val="0"/>
      <w:adjustRightInd w:val="0"/>
    </w:pPr>
    <w:rPr>
      <w:rFonts w:ascii="Arial" w:hAnsi="Arial" w:cs="Arial"/>
      <w:color w:val="000000"/>
    </w:rPr>
  </w:style>
  <w:style w:type="paragraph" w:styleId="NormalWeb">
    <w:name w:val="Normal (Web)"/>
    <w:basedOn w:val="Normal"/>
    <w:uiPriority w:val="99"/>
    <w:unhideWhenUsed/>
    <w:rsid w:val="0035251A"/>
    <w:pPr>
      <w:tabs>
        <w:tab w:val="clear" w:pos="284"/>
      </w:tabs>
      <w:spacing w:before="100" w:beforeAutospacing="1" w:after="100" w:afterAutospacing="1" w:line="240" w:lineRule="auto"/>
    </w:pPr>
    <w:rPr>
      <w:rFonts w:ascii="Times New Roman" w:eastAsia="Times New Roman" w:hAnsi="Times New Roman" w:cs="Times New Roman"/>
      <w:spacing w:val="0"/>
      <w:sz w:val="24"/>
      <w:lang w:eastAsia="en-GB"/>
    </w:rPr>
  </w:style>
  <w:style w:type="character" w:styleId="Emphasis">
    <w:name w:val="Emphasis"/>
    <w:basedOn w:val="DefaultParagraphFont"/>
    <w:uiPriority w:val="20"/>
    <w:qFormat/>
    <w:rsid w:val="00131A57"/>
    <w:rPr>
      <w:i/>
      <w:iCs/>
    </w:rPr>
  </w:style>
  <w:style w:type="character" w:customStyle="1" w:styleId="normaltextrun">
    <w:name w:val="normaltextrun"/>
    <w:basedOn w:val="DefaultParagraphFont"/>
    <w:rsid w:val="007F3447"/>
  </w:style>
  <w:style w:type="character" w:customStyle="1" w:styleId="eop">
    <w:name w:val="eop"/>
    <w:basedOn w:val="DefaultParagraphFont"/>
    <w:rsid w:val="007F3447"/>
  </w:style>
  <w:style w:type="paragraph" w:customStyle="1" w:styleId="xmsonormal">
    <w:name w:val="x_msonormal"/>
    <w:basedOn w:val="Normal"/>
    <w:rsid w:val="00B00ED2"/>
    <w:pPr>
      <w:tabs>
        <w:tab w:val="clear" w:pos="284"/>
      </w:tabs>
      <w:spacing w:after="0" w:line="240" w:lineRule="auto"/>
    </w:pPr>
    <w:rPr>
      <w:rFonts w:ascii="Calibri" w:eastAsiaTheme="minorHAnsi" w:hAnsi="Calibri" w:cs="Calibri"/>
      <w:spacing w:val="0"/>
      <w:szCs w:val="22"/>
      <w:lang w:eastAsia="en-GB"/>
    </w:rPr>
  </w:style>
  <w:style w:type="character" w:customStyle="1" w:styleId="xcontentpasted0">
    <w:name w:val="x_contentpasted0"/>
    <w:basedOn w:val="DefaultParagraphFont"/>
    <w:rsid w:val="00B00ED2"/>
  </w:style>
  <w:style w:type="paragraph" w:customStyle="1" w:styleId="paragraph">
    <w:name w:val="paragraph"/>
    <w:basedOn w:val="Normal"/>
    <w:rsid w:val="00844E98"/>
    <w:pPr>
      <w:tabs>
        <w:tab w:val="clear" w:pos="284"/>
      </w:tabs>
      <w:spacing w:before="100" w:beforeAutospacing="1" w:after="100" w:afterAutospacing="1" w:line="240" w:lineRule="auto"/>
    </w:pPr>
    <w:rPr>
      <w:rFonts w:ascii="Calibri" w:eastAsiaTheme="minorHAnsi" w:hAnsi="Calibri" w:cs="Calibri"/>
      <w:spacing w:val="0"/>
      <w:szCs w:val="22"/>
      <w:lang w:eastAsia="en-GB"/>
    </w:rPr>
  </w:style>
  <w:style w:type="character" w:styleId="CommentReference">
    <w:name w:val="annotation reference"/>
    <w:basedOn w:val="DefaultParagraphFont"/>
    <w:uiPriority w:val="99"/>
    <w:semiHidden/>
    <w:unhideWhenUsed/>
    <w:rsid w:val="00385446"/>
    <w:rPr>
      <w:sz w:val="16"/>
      <w:szCs w:val="16"/>
    </w:rPr>
  </w:style>
  <w:style w:type="paragraph" w:styleId="CommentText">
    <w:name w:val="annotation text"/>
    <w:basedOn w:val="Normal"/>
    <w:link w:val="CommentTextChar"/>
    <w:uiPriority w:val="99"/>
    <w:unhideWhenUsed/>
    <w:rsid w:val="00385446"/>
    <w:pPr>
      <w:spacing w:line="240" w:lineRule="auto"/>
    </w:pPr>
    <w:rPr>
      <w:sz w:val="20"/>
      <w:szCs w:val="20"/>
    </w:rPr>
  </w:style>
  <w:style w:type="character" w:customStyle="1" w:styleId="CommentTextChar">
    <w:name w:val="Comment Text Char"/>
    <w:basedOn w:val="DefaultParagraphFont"/>
    <w:link w:val="CommentText"/>
    <w:uiPriority w:val="99"/>
    <w:rsid w:val="00385446"/>
    <w:rPr>
      <w:rFonts w:ascii="Arial" w:eastAsiaTheme="minorEastAsia" w:hAnsi="Arial" w:cs="Times New Roman (Body CS)"/>
      <w:spacing w:val="10"/>
      <w:sz w:val="20"/>
      <w:szCs w:val="20"/>
    </w:rPr>
  </w:style>
  <w:style w:type="paragraph" w:styleId="CommentSubject">
    <w:name w:val="annotation subject"/>
    <w:basedOn w:val="CommentText"/>
    <w:next w:val="CommentText"/>
    <w:link w:val="CommentSubjectChar"/>
    <w:uiPriority w:val="99"/>
    <w:semiHidden/>
    <w:unhideWhenUsed/>
    <w:rsid w:val="00385446"/>
    <w:rPr>
      <w:b/>
      <w:bCs/>
    </w:rPr>
  </w:style>
  <w:style w:type="character" w:customStyle="1" w:styleId="CommentSubjectChar">
    <w:name w:val="Comment Subject Char"/>
    <w:basedOn w:val="CommentTextChar"/>
    <w:link w:val="CommentSubject"/>
    <w:uiPriority w:val="99"/>
    <w:semiHidden/>
    <w:rsid w:val="00385446"/>
    <w:rPr>
      <w:rFonts w:ascii="Arial" w:eastAsiaTheme="minorEastAsia" w:hAnsi="Arial" w:cs="Times New Roman (Body CS)"/>
      <w:b/>
      <w:bCs/>
      <w:spacing w:val="10"/>
      <w:sz w:val="20"/>
      <w:szCs w:val="20"/>
    </w:rPr>
  </w:style>
  <w:style w:type="paragraph" w:styleId="Revision">
    <w:name w:val="Revision"/>
    <w:hidden/>
    <w:uiPriority w:val="99"/>
    <w:semiHidden/>
    <w:rsid w:val="005F3525"/>
    <w:rPr>
      <w:rFonts w:ascii="Arial" w:eastAsiaTheme="minorEastAsia" w:hAnsi="Arial" w:cs="Times New Roman (Body CS)"/>
      <w:spacing w:val="10"/>
      <w:sz w:val="22"/>
    </w:rPr>
  </w:style>
  <w:style w:type="paragraph" w:customStyle="1" w:styleId="paragraphstyledparagraph-sc-1khwz9x-0">
    <w:name w:val="paragraph__styledparagraph-sc-1khwz9x-0"/>
    <w:basedOn w:val="Normal"/>
    <w:rsid w:val="00905AC1"/>
    <w:pPr>
      <w:tabs>
        <w:tab w:val="clear" w:pos="284"/>
      </w:tabs>
      <w:spacing w:before="195" w:after="195" w:line="240" w:lineRule="auto"/>
    </w:pPr>
    <w:rPr>
      <w:rFonts w:ascii="Calibri" w:eastAsiaTheme="minorHAnsi" w:hAnsi="Calibri" w:cs="Calibri"/>
      <w:spacing w:val="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2550">
      <w:bodyDiv w:val="1"/>
      <w:marLeft w:val="0"/>
      <w:marRight w:val="0"/>
      <w:marTop w:val="0"/>
      <w:marBottom w:val="0"/>
      <w:divBdr>
        <w:top w:val="none" w:sz="0" w:space="0" w:color="auto"/>
        <w:left w:val="none" w:sz="0" w:space="0" w:color="auto"/>
        <w:bottom w:val="none" w:sz="0" w:space="0" w:color="auto"/>
        <w:right w:val="none" w:sz="0" w:space="0" w:color="auto"/>
      </w:divBdr>
    </w:div>
    <w:div w:id="90978227">
      <w:bodyDiv w:val="1"/>
      <w:marLeft w:val="0"/>
      <w:marRight w:val="0"/>
      <w:marTop w:val="0"/>
      <w:marBottom w:val="0"/>
      <w:divBdr>
        <w:top w:val="none" w:sz="0" w:space="0" w:color="auto"/>
        <w:left w:val="none" w:sz="0" w:space="0" w:color="auto"/>
        <w:bottom w:val="none" w:sz="0" w:space="0" w:color="auto"/>
        <w:right w:val="none" w:sz="0" w:space="0" w:color="auto"/>
      </w:divBdr>
    </w:div>
    <w:div w:id="194388680">
      <w:bodyDiv w:val="1"/>
      <w:marLeft w:val="0"/>
      <w:marRight w:val="0"/>
      <w:marTop w:val="0"/>
      <w:marBottom w:val="0"/>
      <w:divBdr>
        <w:top w:val="none" w:sz="0" w:space="0" w:color="auto"/>
        <w:left w:val="none" w:sz="0" w:space="0" w:color="auto"/>
        <w:bottom w:val="none" w:sz="0" w:space="0" w:color="auto"/>
        <w:right w:val="none" w:sz="0" w:space="0" w:color="auto"/>
      </w:divBdr>
    </w:div>
    <w:div w:id="214699401">
      <w:bodyDiv w:val="1"/>
      <w:marLeft w:val="0"/>
      <w:marRight w:val="0"/>
      <w:marTop w:val="0"/>
      <w:marBottom w:val="0"/>
      <w:divBdr>
        <w:top w:val="none" w:sz="0" w:space="0" w:color="auto"/>
        <w:left w:val="none" w:sz="0" w:space="0" w:color="auto"/>
        <w:bottom w:val="none" w:sz="0" w:space="0" w:color="auto"/>
        <w:right w:val="none" w:sz="0" w:space="0" w:color="auto"/>
      </w:divBdr>
    </w:div>
    <w:div w:id="234781773">
      <w:bodyDiv w:val="1"/>
      <w:marLeft w:val="0"/>
      <w:marRight w:val="0"/>
      <w:marTop w:val="0"/>
      <w:marBottom w:val="0"/>
      <w:divBdr>
        <w:top w:val="none" w:sz="0" w:space="0" w:color="auto"/>
        <w:left w:val="none" w:sz="0" w:space="0" w:color="auto"/>
        <w:bottom w:val="none" w:sz="0" w:space="0" w:color="auto"/>
        <w:right w:val="none" w:sz="0" w:space="0" w:color="auto"/>
      </w:divBdr>
    </w:div>
    <w:div w:id="359404620">
      <w:bodyDiv w:val="1"/>
      <w:marLeft w:val="0"/>
      <w:marRight w:val="0"/>
      <w:marTop w:val="0"/>
      <w:marBottom w:val="0"/>
      <w:divBdr>
        <w:top w:val="none" w:sz="0" w:space="0" w:color="auto"/>
        <w:left w:val="none" w:sz="0" w:space="0" w:color="auto"/>
        <w:bottom w:val="none" w:sz="0" w:space="0" w:color="auto"/>
        <w:right w:val="none" w:sz="0" w:space="0" w:color="auto"/>
      </w:divBdr>
    </w:div>
    <w:div w:id="372006230">
      <w:bodyDiv w:val="1"/>
      <w:marLeft w:val="0"/>
      <w:marRight w:val="0"/>
      <w:marTop w:val="0"/>
      <w:marBottom w:val="0"/>
      <w:divBdr>
        <w:top w:val="none" w:sz="0" w:space="0" w:color="auto"/>
        <w:left w:val="none" w:sz="0" w:space="0" w:color="auto"/>
        <w:bottom w:val="none" w:sz="0" w:space="0" w:color="auto"/>
        <w:right w:val="none" w:sz="0" w:space="0" w:color="auto"/>
      </w:divBdr>
    </w:div>
    <w:div w:id="376242685">
      <w:bodyDiv w:val="1"/>
      <w:marLeft w:val="0"/>
      <w:marRight w:val="0"/>
      <w:marTop w:val="0"/>
      <w:marBottom w:val="0"/>
      <w:divBdr>
        <w:top w:val="none" w:sz="0" w:space="0" w:color="auto"/>
        <w:left w:val="none" w:sz="0" w:space="0" w:color="auto"/>
        <w:bottom w:val="none" w:sz="0" w:space="0" w:color="auto"/>
        <w:right w:val="none" w:sz="0" w:space="0" w:color="auto"/>
      </w:divBdr>
    </w:div>
    <w:div w:id="383599854">
      <w:bodyDiv w:val="1"/>
      <w:marLeft w:val="0"/>
      <w:marRight w:val="0"/>
      <w:marTop w:val="0"/>
      <w:marBottom w:val="0"/>
      <w:divBdr>
        <w:top w:val="none" w:sz="0" w:space="0" w:color="auto"/>
        <w:left w:val="none" w:sz="0" w:space="0" w:color="auto"/>
        <w:bottom w:val="none" w:sz="0" w:space="0" w:color="auto"/>
        <w:right w:val="none" w:sz="0" w:space="0" w:color="auto"/>
      </w:divBdr>
    </w:div>
    <w:div w:id="405110048">
      <w:bodyDiv w:val="1"/>
      <w:marLeft w:val="0"/>
      <w:marRight w:val="0"/>
      <w:marTop w:val="0"/>
      <w:marBottom w:val="0"/>
      <w:divBdr>
        <w:top w:val="none" w:sz="0" w:space="0" w:color="auto"/>
        <w:left w:val="none" w:sz="0" w:space="0" w:color="auto"/>
        <w:bottom w:val="none" w:sz="0" w:space="0" w:color="auto"/>
        <w:right w:val="none" w:sz="0" w:space="0" w:color="auto"/>
      </w:divBdr>
    </w:div>
    <w:div w:id="587464965">
      <w:bodyDiv w:val="1"/>
      <w:marLeft w:val="0"/>
      <w:marRight w:val="0"/>
      <w:marTop w:val="0"/>
      <w:marBottom w:val="0"/>
      <w:divBdr>
        <w:top w:val="none" w:sz="0" w:space="0" w:color="auto"/>
        <w:left w:val="none" w:sz="0" w:space="0" w:color="auto"/>
        <w:bottom w:val="none" w:sz="0" w:space="0" w:color="auto"/>
        <w:right w:val="none" w:sz="0" w:space="0" w:color="auto"/>
      </w:divBdr>
    </w:div>
    <w:div w:id="693967675">
      <w:bodyDiv w:val="1"/>
      <w:marLeft w:val="0"/>
      <w:marRight w:val="0"/>
      <w:marTop w:val="0"/>
      <w:marBottom w:val="0"/>
      <w:divBdr>
        <w:top w:val="none" w:sz="0" w:space="0" w:color="auto"/>
        <w:left w:val="none" w:sz="0" w:space="0" w:color="auto"/>
        <w:bottom w:val="none" w:sz="0" w:space="0" w:color="auto"/>
        <w:right w:val="none" w:sz="0" w:space="0" w:color="auto"/>
      </w:divBdr>
    </w:div>
    <w:div w:id="704062696">
      <w:bodyDiv w:val="1"/>
      <w:marLeft w:val="0"/>
      <w:marRight w:val="0"/>
      <w:marTop w:val="0"/>
      <w:marBottom w:val="0"/>
      <w:divBdr>
        <w:top w:val="none" w:sz="0" w:space="0" w:color="auto"/>
        <w:left w:val="none" w:sz="0" w:space="0" w:color="auto"/>
        <w:bottom w:val="none" w:sz="0" w:space="0" w:color="auto"/>
        <w:right w:val="none" w:sz="0" w:space="0" w:color="auto"/>
      </w:divBdr>
    </w:div>
    <w:div w:id="721945102">
      <w:bodyDiv w:val="1"/>
      <w:marLeft w:val="0"/>
      <w:marRight w:val="0"/>
      <w:marTop w:val="0"/>
      <w:marBottom w:val="0"/>
      <w:divBdr>
        <w:top w:val="none" w:sz="0" w:space="0" w:color="auto"/>
        <w:left w:val="none" w:sz="0" w:space="0" w:color="auto"/>
        <w:bottom w:val="none" w:sz="0" w:space="0" w:color="auto"/>
        <w:right w:val="none" w:sz="0" w:space="0" w:color="auto"/>
      </w:divBdr>
    </w:div>
    <w:div w:id="776171877">
      <w:bodyDiv w:val="1"/>
      <w:marLeft w:val="0"/>
      <w:marRight w:val="0"/>
      <w:marTop w:val="0"/>
      <w:marBottom w:val="0"/>
      <w:divBdr>
        <w:top w:val="none" w:sz="0" w:space="0" w:color="auto"/>
        <w:left w:val="none" w:sz="0" w:space="0" w:color="auto"/>
        <w:bottom w:val="none" w:sz="0" w:space="0" w:color="auto"/>
        <w:right w:val="none" w:sz="0" w:space="0" w:color="auto"/>
      </w:divBdr>
    </w:div>
    <w:div w:id="838010077">
      <w:bodyDiv w:val="1"/>
      <w:marLeft w:val="0"/>
      <w:marRight w:val="0"/>
      <w:marTop w:val="0"/>
      <w:marBottom w:val="0"/>
      <w:divBdr>
        <w:top w:val="none" w:sz="0" w:space="0" w:color="auto"/>
        <w:left w:val="none" w:sz="0" w:space="0" w:color="auto"/>
        <w:bottom w:val="none" w:sz="0" w:space="0" w:color="auto"/>
        <w:right w:val="none" w:sz="0" w:space="0" w:color="auto"/>
      </w:divBdr>
    </w:div>
    <w:div w:id="863909037">
      <w:bodyDiv w:val="1"/>
      <w:marLeft w:val="0"/>
      <w:marRight w:val="0"/>
      <w:marTop w:val="0"/>
      <w:marBottom w:val="0"/>
      <w:divBdr>
        <w:top w:val="none" w:sz="0" w:space="0" w:color="auto"/>
        <w:left w:val="none" w:sz="0" w:space="0" w:color="auto"/>
        <w:bottom w:val="none" w:sz="0" w:space="0" w:color="auto"/>
        <w:right w:val="none" w:sz="0" w:space="0" w:color="auto"/>
      </w:divBdr>
    </w:div>
    <w:div w:id="962619973">
      <w:bodyDiv w:val="1"/>
      <w:marLeft w:val="0"/>
      <w:marRight w:val="0"/>
      <w:marTop w:val="0"/>
      <w:marBottom w:val="0"/>
      <w:divBdr>
        <w:top w:val="none" w:sz="0" w:space="0" w:color="auto"/>
        <w:left w:val="none" w:sz="0" w:space="0" w:color="auto"/>
        <w:bottom w:val="none" w:sz="0" w:space="0" w:color="auto"/>
        <w:right w:val="none" w:sz="0" w:space="0" w:color="auto"/>
      </w:divBdr>
    </w:div>
    <w:div w:id="1094205016">
      <w:bodyDiv w:val="1"/>
      <w:marLeft w:val="0"/>
      <w:marRight w:val="0"/>
      <w:marTop w:val="0"/>
      <w:marBottom w:val="0"/>
      <w:divBdr>
        <w:top w:val="none" w:sz="0" w:space="0" w:color="auto"/>
        <w:left w:val="none" w:sz="0" w:space="0" w:color="auto"/>
        <w:bottom w:val="none" w:sz="0" w:space="0" w:color="auto"/>
        <w:right w:val="none" w:sz="0" w:space="0" w:color="auto"/>
      </w:divBdr>
    </w:div>
    <w:div w:id="1145665410">
      <w:bodyDiv w:val="1"/>
      <w:marLeft w:val="0"/>
      <w:marRight w:val="0"/>
      <w:marTop w:val="0"/>
      <w:marBottom w:val="0"/>
      <w:divBdr>
        <w:top w:val="none" w:sz="0" w:space="0" w:color="auto"/>
        <w:left w:val="none" w:sz="0" w:space="0" w:color="auto"/>
        <w:bottom w:val="none" w:sz="0" w:space="0" w:color="auto"/>
        <w:right w:val="none" w:sz="0" w:space="0" w:color="auto"/>
      </w:divBdr>
    </w:div>
    <w:div w:id="1162623890">
      <w:bodyDiv w:val="1"/>
      <w:marLeft w:val="0"/>
      <w:marRight w:val="0"/>
      <w:marTop w:val="0"/>
      <w:marBottom w:val="0"/>
      <w:divBdr>
        <w:top w:val="none" w:sz="0" w:space="0" w:color="auto"/>
        <w:left w:val="none" w:sz="0" w:space="0" w:color="auto"/>
        <w:bottom w:val="none" w:sz="0" w:space="0" w:color="auto"/>
        <w:right w:val="none" w:sz="0" w:space="0" w:color="auto"/>
      </w:divBdr>
    </w:div>
    <w:div w:id="1178539032">
      <w:bodyDiv w:val="1"/>
      <w:marLeft w:val="0"/>
      <w:marRight w:val="0"/>
      <w:marTop w:val="0"/>
      <w:marBottom w:val="0"/>
      <w:divBdr>
        <w:top w:val="none" w:sz="0" w:space="0" w:color="auto"/>
        <w:left w:val="none" w:sz="0" w:space="0" w:color="auto"/>
        <w:bottom w:val="none" w:sz="0" w:space="0" w:color="auto"/>
        <w:right w:val="none" w:sz="0" w:space="0" w:color="auto"/>
      </w:divBdr>
    </w:div>
    <w:div w:id="1190559484">
      <w:bodyDiv w:val="1"/>
      <w:marLeft w:val="0"/>
      <w:marRight w:val="0"/>
      <w:marTop w:val="0"/>
      <w:marBottom w:val="0"/>
      <w:divBdr>
        <w:top w:val="none" w:sz="0" w:space="0" w:color="auto"/>
        <w:left w:val="none" w:sz="0" w:space="0" w:color="auto"/>
        <w:bottom w:val="none" w:sz="0" w:space="0" w:color="auto"/>
        <w:right w:val="none" w:sz="0" w:space="0" w:color="auto"/>
      </w:divBdr>
    </w:div>
    <w:div w:id="1214123044">
      <w:bodyDiv w:val="1"/>
      <w:marLeft w:val="0"/>
      <w:marRight w:val="0"/>
      <w:marTop w:val="0"/>
      <w:marBottom w:val="0"/>
      <w:divBdr>
        <w:top w:val="none" w:sz="0" w:space="0" w:color="auto"/>
        <w:left w:val="none" w:sz="0" w:space="0" w:color="auto"/>
        <w:bottom w:val="none" w:sz="0" w:space="0" w:color="auto"/>
        <w:right w:val="none" w:sz="0" w:space="0" w:color="auto"/>
      </w:divBdr>
    </w:div>
    <w:div w:id="1260988230">
      <w:bodyDiv w:val="1"/>
      <w:marLeft w:val="0"/>
      <w:marRight w:val="0"/>
      <w:marTop w:val="0"/>
      <w:marBottom w:val="0"/>
      <w:divBdr>
        <w:top w:val="none" w:sz="0" w:space="0" w:color="auto"/>
        <w:left w:val="none" w:sz="0" w:space="0" w:color="auto"/>
        <w:bottom w:val="none" w:sz="0" w:space="0" w:color="auto"/>
        <w:right w:val="none" w:sz="0" w:space="0" w:color="auto"/>
      </w:divBdr>
    </w:div>
    <w:div w:id="1282422633">
      <w:bodyDiv w:val="1"/>
      <w:marLeft w:val="0"/>
      <w:marRight w:val="0"/>
      <w:marTop w:val="0"/>
      <w:marBottom w:val="0"/>
      <w:divBdr>
        <w:top w:val="none" w:sz="0" w:space="0" w:color="auto"/>
        <w:left w:val="none" w:sz="0" w:space="0" w:color="auto"/>
        <w:bottom w:val="none" w:sz="0" w:space="0" w:color="auto"/>
        <w:right w:val="none" w:sz="0" w:space="0" w:color="auto"/>
      </w:divBdr>
    </w:div>
    <w:div w:id="1306664768">
      <w:bodyDiv w:val="1"/>
      <w:marLeft w:val="0"/>
      <w:marRight w:val="0"/>
      <w:marTop w:val="0"/>
      <w:marBottom w:val="0"/>
      <w:divBdr>
        <w:top w:val="none" w:sz="0" w:space="0" w:color="auto"/>
        <w:left w:val="none" w:sz="0" w:space="0" w:color="auto"/>
        <w:bottom w:val="none" w:sz="0" w:space="0" w:color="auto"/>
        <w:right w:val="none" w:sz="0" w:space="0" w:color="auto"/>
      </w:divBdr>
    </w:div>
    <w:div w:id="1529105045">
      <w:bodyDiv w:val="1"/>
      <w:marLeft w:val="0"/>
      <w:marRight w:val="0"/>
      <w:marTop w:val="0"/>
      <w:marBottom w:val="0"/>
      <w:divBdr>
        <w:top w:val="none" w:sz="0" w:space="0" w:color="auto"/>
        <w:left w:val="none" w:sz="0" w:space="0" w:color="auto"/>
        <w:bottom w:val="none" w:sz="0" w:space="0" w:color="auto"/>
        <w:right w:val="none" w:sz="0" w:space="0" w:color="auto"/>
      </w:divBdr>
    </w:div>
    <w:div w:id="1543901126">
      <w:bodyDiv w:val="1"/>
      <w:marLeft w:val="0"/>
      <w:marRight w:val="0"/>
      <w:marTop w:val="0"/>
      <w:marBottom w:val="0"/>
      <w:divBdr>
        <w:top w:val="none" w:sz="0" w:space="0" w:color="auto"/>
        <w:left w:val="none" w:sz="0" w:space="0" w:color="auto"/>
        <w:bottom w:val="none" w:sz="0" w:space="0" w:color="auto"/>
        <w:right w:val="none" w:sz="0" w:space="0" w:color="auto"/>
      </w:divBdr>
    </w:div>
    <w:div w:id="1561937121">
      <w:bodyDiv w:val="1"/>
      <w:marLeft w:val="0"/>
      <w:marRight w:val="0"/>
      <w:marTop w:val="0"/>
      <w:marBottom w:val="0"/>
      <w:divBdr>
        <w:top w:val="none" w:sz="0" w:space="0" w:color="auto"/>
        <w:left w:val="none" w:sz="0" w:space="0" w:color="auto"/>
        <w:bottom w:val="none" w:sz="0" w:space="0" w:color="auto"/>
        <w:right w:val="none" w:sz="0" w:space="0" w:color="auto"/>
      </w:divBdr>
    </w:div>
    <w:div w:id="1566603007">
      <w:bodyDiv w:val="1"/>
      <w:marLeft w:val="0"/>
      <w:marRight w:val="0"/>
      <w:marTop w:val="0"/>
      <w:marBottom w:val="0"/>
      <w:divBdr>
        <w:top w:val="none" w:sz="0" w:space="0" w:color="auto"/>
        <w:left w:val="none" w:sz="0" w:space="0" w:color="auto"/>
        <w:bottom w:val="none" w:sz="0" w:space="0" w:color="auto"/>
        <w:right w:val="none" w:sz="0" w:space="0" w:color="auto"/>
      </w:divBdr>
    </w:div>
    <w:div w:id="1575122428">
      <w:bodyDiv w:val="1"/>
      <w:marLeft w:val="0"/>
      <w:marRight w:val="0"/>
      <w:marTop w:val="0"/>
      <w:marBottom w:val="0"/>
      <w:divBdr>
        <w:top w:val="none" w:sz="0" w:space="0" w:color="auto"/>
        <w:left w:val="none" w:sz="0" w:space="0" w:color="auto"/>
        <w:bottom w:val="none" w:sz="0" w:space="0" w:color="auto"/>
        <w:right w:val="none" w:sz="0" w:space="0" w:color="auto"/>
      </w:divBdr>
    </w:div>
    <w:div w:id="1828788637">
      <w:bodyDiv w:val="1"/>
      <w:marLeft w:val="0"/>
      <w:marRight w:val="0"/>
      <w:marTop w:val="0"/>
      <w:marBottom w:val="0"/>
      <w:divBdr>
        <w:top w:val="none" w:sz="0" w:space="0" w:color="auto"/>
        <w:left w:val="none" w:sz="0" w:space="0" w:color="auto"/>
        <w:bottom w:val="none" w:sz="0" w:space="0" w:color="auto"/>
        <w:right w:val="none" w:sz="0" w:space="0" w:color="auto"/>
      </w:divBdr>
    </w:div>
    <w:div w:id="1865555467">
      <w:bodyDiv w:val="1"/>
      <w:marLeft w:val="0"/>
      <w:marRight w:val="0"/>
      <w:marTop w:val="0"/>
      <w:marBottom w:val="0"/>
      <w:divBdr>
        <w:top w:val="none" w:sz="0" w:space="0" w:color="auto"/>
        <w:left w:val="none" w:sz="0" w:space="0" w:color="auto"/>
        <w:bottom w:val="none" w:sz="0" w:space="0" w:color="auto"/>
        <w:right w:val="none" w:sz="0" w:space="0" w:color="auto"/>
      </w:divBdr>
    </w:div>
    <w:div w:id="2006855087">
      <w:bodyDiv w:val="1"/>
      <w:marLeft w:val="0"/>
      <w:marRight w:val="0"/>
      <w:marTop w:val="0"/>
      <w:marBottom w:val="0"/>
      <w:divBdr>
        <w:top w:val="none" w:sz="0" w:space="0" w:color="auto"/>
        <w:left w:val="none" w:sz="0" w:space="0" w:color="auto"/>
        <w:bottom w:val="none" w:sz="0" w:space="0" w:color="auto"/>
        <w:right w:val="none" w:sz="0" w:space="0" w:color="auto"/>
      </w:divBdr>
    </w:div>
    <w:div w:id="2033148914">
      <w:bodyDiv w:val="1"/>
      <w:marLeft w:val="0"/>
      <w:marRight w:val="0"/>
      <w:marTop w:val="0"/>
      <w:marBottom w:val="0"/>
      <w:divBdr>
        <w:top w:val="none" w:sz="0" w:space="0" w:color="auto"/>
        <w:left w:val="none" w:sz="0" w:space="0" w:color="auto"/>
        <w:bottom w:val="none" w:sz="0" w:space="0" w:color="auto"/>
        <w:right w:val="none" w:sz="0" w:space="0" w:color="auto"/>
      </w:divBdr>
    </w:div>
    <w:div w:id="2048097739">
      <w:bodyDiv w:val="1"/>
      <w:marLeft w:val="0"/>
      <w:marRight w:val="0"/>
      <w:marTop w:val="0"/>
      <w:marBottom w:val="0"/>
      <w:divBdr>
        <w:top w:val="none" w:sz="0" w:space="0" w:color="auto"/>
        <w:left w:val="none" w:sz="0" w:space="0" w:color="auto"/>
        <w:bottom w:val="none" w:sz="0" w:space="0" w:color="auto"/>
        <w:right w:val="none" w:sz="0" w:space="0" w:color="auto"/>
      </w:divBdr>
    </w:div>
    <w:div w:id="20529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kingccs.co.uk/" TargetMode="External"/><Relationship Id="rId18" Type="http://schemas.openxmlformats.org/officeDocument/2006/relationships/hyperlink" Target="https://www.gov.uk/government/consultations/operational-reforms-to-the-nationally-significant-infrastructure-project-consenting-process" TargetMode="External"/><Relationship Id="rId26" Type="http://schemas.openxmlformats.org/officeDocument/2006/relationships/hyperlink" Target="https://www.gov.uk/government/statistics/boiler-upgrade-scheme-statistics-june-2023?utm_medium=email&amp;utm_campaign=govuk-notifications-topic&amp;utm_source=f512e79a-6950-40db-8629-6a337c8e4fa2&amp;utm_content=weekly" TargetMode="External"/><Relationship Id="rId21" Type="http://schemas.openxmlformats.org/officeDocument/2006/relationships/hyperlink" Target="https://www.ukri.org/news/ofgem-strategic-innovation-fund-announces-10-funded-projects/" TargetMode="External"/><Relationship Id="rId34" Type="http://schemas.openxmlformats.org/officeDocument/2006/relationships/hyperlink" Target="https://www.neynetzerohub.com/latest-new/hub-events/" TargetMode="External"/><Relationship Id="rId7" Type="http://schemas.openxmlformats.org/officeDocument/2006/relationships/webSettings" Target="webSettings.xml"/><Relationship Id="rId12" Type="http://schemas.openxmlformats.org/officeDocument/2006/relationships/hyperlink" Target="https://www.gov.uk/government/publications/local-energy-advice-demonstrator-competition-successful-projects/local-energy-advice-demonstrator-projects-details-of-organisations-awarded-funding" TargetMode="External"/><Relationship Id="rId17" Type="http://schemas.openxmlformats.org/officeDocument/2006/relationships/hyperlink" Target="https://netzeroappg.org.uk/wp-content/uploads/2023/07/NZ-APPG-Myth-Busting-Report-v3-1.pdf?utm_source=Inflect+Partners&amp;utm_campaign=f84f925bba-EMAIL_CAMPAIGN_2023_06_28_11_23_COPY_01&amp;utm_medium=email&amp;utm_term=0_-597af07340-%5BLIST_EMAIL_ID%5D&amp;mc_cid=f84f925bba&amp;mc_eid=cc26051e32" TargetMode="External"/><Relationship Id="rId25" Type="http://schemas.openxmlformats.org/officeDocument/2006/relationships/hyperlink" Target="https://www.gov.uk/government/statistics/social-housing-decarbonisation-fund-statistics-july-2023?utm_medium=email&amp;utm_campaign=govuk-notifications-topic&amp;utm_source=883b4902-a868-44ac-864f-3c6bd90cef08&amp;utm_content=weekly" TargetMode="External"/><Relationship Id="rId33" Type="http://schemas.openxmlformats.org/officeDocument/2006/relationships/hyperlink" Target="https://www.northernpowergrid.com/news/ev-does-it-northern-ev-owners-take-part-driving-the-transition-to-net-zero"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delivering-a-better-energy-retail-market/delivering-a-better-energy-retail-market-a-vision-for-the-future-and-package-of-targeted-reforms-html" TargetMode="External"/><Relationship Id="rId20" Type="http://schemas.openxmlformats.org/officeDocument/2006/relationships/hyperlink" Target="https://yorkshirecap.commonplace.is/news/how-do-we-fund-the-region%e2%80%99s-ambitious-climate-goals?utm_campaign=NewsPost&amp;utm_content=How+do+we+fund+the+region%e2%80%99s+ambitious+climate+goals?&amp;utm_source=cp-email&amp;utm_medium=email" TargetMode="External"/><Relationship Id="rId29" Type="http://schemas.openxmlformats.org/officeDocument/2006/relationships/hyperlink" Target="https://www.gov.uk/government/statistics/uk-energy-in-brief-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parliament.uk/research-briefings/post-pn-0703/" TargetMode="External"/><Relationship Id="rId24" Type="http://schemas.openxmlformats.org/officeDocument/2006/relationships/hyperlink" Target="https://iuk.ktn-uk.org/programme/net-zero-living/" TargetMode="External"/><Relationship Id="rId32" Type="http://schemas.openxmlformats.org/officeDocument/2006/relationships/hyperlink" Target="https://www.ukri.org/news/new-hubs-will-lead-innovation-towards-a-net-zero-energy-sector/"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accelerating-electricity-transmission-network-deployment-electricity-network-commissioners-recommendations?utm_medium=email&amp;utm_campaign=govuk-notifications-topic&amp;utm_source=ed87144c-24f6-4c2d-aa09-d13732ffaafa&amp;utm_content=daily" TargetMode="External"/><Relationship Id="rId23" Type="http://schemas.openxmlformats.org/officeDocument/2006/relationships/hyperlink" Target="https://www.gov.uk/government/news/thousands-to-be-trained-to-boost-energy-efficiency-in-homes-across-the-country?utm_medium=email&amp;utm_campaign=govuk-notifications-topic&amp;utm_source=5b9abfcb-913d-4956-8bea-04d4edad6d72&amp;utm_content=weekly" TargetMode="External"/><Relationship Id="rId28" Type="http://schemas.openxmlformats.org/officeDocument/2006/relationships/hyperlink" Target="https://www.gov.uk/government/publications/functioning-of-the-uk-carbon-market?utm_medium=email&amp;utm_campaign=govuk-notifications-topic&amp;utm_source=6e5c8b5e-55e5-471a-a20b-55a4dc6c911a&amp;utm_content=weekly" TargetMode="External"/><Relationship Id="rId36" Type="http://schemas.openxmlformats.org/officeDocument/2006/relationships/fontTable" Target="fontTable.xml"/><Relationship Id="rId10" Type="http://schemas.openxmlformats.org/officeDocument/2006/relationships/hyperlink" Target="https://www.neynetzerohub.com/about/stakeholder-report/" TargetMode="External"/><Relationship Id="rId19" Type="http://schemas.openxmlformats.org/officeDocument/2006/relationships/hyperlink" Target="https://www.gov.uk/government/consultations/enabling-industrial-electrification-a-call-for-evidence?utm_medium=email&amp;utm_campaign=govuk-notifications-topic&amp;utm_source=3dbdd497-83f8-40e4-97a3-b4e34d8417d3&amp;utm_content=weekly" TargetMode="External"/><Relationship Id="rId31" Type="http://schemas.openxmlformats.org/officeDocument/2006/relationships/hyperlink" Target="https://www.gov.uk/government/news/tata-group-to-invest-over-4-billion-in-uk-gigafactory-creating-thousands-of-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news/north-east-to-benefit-from-new-funding-for-hydrogen-transport?utm_medium=email&amp;utm_campaign=govuk-notifications-topic&amp;utm_source=e5a58cbb-b0be-43f6-9aea-92c1411db4ab&amp;utm_content=daily" TargetMode="External"/><Relationship Id="rId22" Type="http://schemas.openxmlformats.org/officeDocument/2006/relationships/hyperlink" Target="https://www.gov.uk/guidance/energy-bills-discount-scheme?utm_medium=email&amp;utm_campaign=govuk-notifications-topic&amp;utm_source=d3736a10-721b-41fe-ad13-275da5e74897&amp;utm_content=weekly" TargetMode="External"/><Relationship Id="rId27" Type="http://schemas.openxmlformats.org/officeDocument/2006/relationships/hyperlink" Target="https://www.gov.uk/government/statistics/warm-home-discount-statistics-2022-to-2023?utm_medium=email&amp;utm_campaign=govuk-notifications-topic&amp;utm_source=d36a7181-b8bf-454a-a385-55485c2ba0b8&amp;utm_content=weekly" TargetMode="External"/><Relationship Id="rId30" Type="http://schemas.openxmlformats.org/officeDocument/2006/relationships/hyperlink" Target="https://www.localgov.co.uk/Flawed-climate-change-advice-putting-pension-funds-at-risk/56624"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Y Hub">
      <a:dk1>
        <a:srgbClr val="004241"/>
      </a:dk1>
      <a:lt1>
        <a:srgbClr val="FFFFFF"/>
      </a:lt1>
      <a:dk2>
        <a:srgbClr val="575970"/>
      </a:dk2>
      <a:lt2>
        <a:srgbClr val="E0E1D8"/>
      </a:lt2>
      <a:accent1>
        <a:srgbClr val="F08717"/>
      </a:accent1>
      <a:accent2>
        <a:srgbClr val="24B1AB"/>
      </a:accent2>
      <a:accent3>
        <a:srgbClr val="A8BD33"/>
      </a:accent3>
      <a:accent4>
        <a:srgbClr val="B173B1"/>
      </a:accent4>
      <a:accent5>
        <a:srgbClr val="BBBEA6"/>
      </a:accent5>
      <a:accent6>
        <a:srgbClr val="FF6B6B"/>
      </a:accent6>
      <a:hlink>
        <a:srgbClr val="F08717"/>
      </a:hlink>
      <a:folHlink>
        <a:srgbClr val="B173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_Flow_SignoffStatus xmlns="c51e0c16-3c70-4bed-930f-b02839d0dd8b" xsi:nil="true"/>
    <MigrationWizIdSecurityGroups xmlns="c51e0c16-3c70-4bed-930f-b02839d0dd8b" xsi:nil="true"/>
    <TaxCatchAll xmlns="5f308053-a768-43f1-bf66-06210bb74c0d" xsi:nil="true"/>
    <lcf76f155ced4ddcb4097134ff3c332f xmlns="c51e0c16-3c70-4bed-930f-b02839d0dd8b">
      <Terms xmlns="http://schemas.microsoft.com/office/infopath/2007/PartnerControls"/>
    </lcf76f155ced4ddcb4097134ff3c332f>
    <SharedWithUsers xmlns="5f308053-a768-43f1-bf66-06210bb74c0d">
      <UserInfo>
        <DisplayName>Karen Oliver-Spry</DisplayName>
        <AccountId>2142</AccountId>
        <AccountType/>
      </UserInfo>
      <UserInfo>
        <DisplayName>Isaac Johnson-Caddell</DisplayName>
        <AccountId>2834</AccountId>
        <AccountType/>
      </UserInfo>
      <UserInfo>
        <DisplayName>Katie Privett</DisplayName>
        <AccountId>3640</AccountId>
        <AccountType/>
      </UserInfo>
      <UserInfo>
        <DisplayName>Abbie Raynes</DisplayName>
        <AccountId>742</AccountId>
        <AccountType/>
      </UserInfo>
      <UserInfo>
        <DisplayName>George Lee</DisplayName>
        <AccountId>3641</AccountId>
        <AccountType/>
      </UserInfo>
      <UserInfo>
        <DisplayName>Nicole Huston</DisplayName>
        <AccountId>918</AccountId>
        <AccountType/>
      </UserInfo>
      <UserInfo>
        <DisplayName>Claire Brewis</DisplayName>
        <AccountId>3464</AccountId>
        <AccountType/>
      </UserInfo>
      <UserInfo>
        <DisplayName>John Hart</DisplayName>
        <AccountId>60</AccountId>
        <AccountType/>
      </UserInfo>
      <UserInfo>
        <DisplayName>Chris Rowell</DisplayName>
        <AccountId>115</AccountId>
        <AccountType/>
      </UserInfo>
      <UserInfo>
        <DisplayName>Laura Hood</DisplayName>
        <AccountId>3738</AccountId>
        <AccountType/>
      </UserInfo>
    </SharedWithUsers>
    <Link xmlns="c51e0c16-3c70-4bed-930f-b02839d0dd8b">
      <Url xsi:nil="true"/>
      <Description xsi:nil="true"/>
    </Link>
    <Review_x0020_Status xmlns="c51e0c16-3c70-4bed-930f-b02839d0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28" ma:contentTypeDescription="Create a new document." ma:contentTypeScope="" ma:versionID="864124665dd8d8da6a06459321bf2df1">
  <xsd:schema xmlns:xsd="http://www.w3.org/2001/XMLSchema" xmlns:xs="http://www.w3.org/2001/XMLSchema" xmlns:p="http://schemas.microsoft.com/office/2006/metadata/properties" xmlns:ns1="c51e0c16-3c70-4bed-930f-b02839d0dd8b" xmlns:ns3="5f308053-a768-43f1-bf66-06210bb74c0d" targetNamespace="http://schemas.microsoft.com/office/2006/metadata/properties" ma:root="true" ma:fieldsID="c0b4853c318134020ca70e78120e4b98" ns1:_="" ns3:_="">
    <xsd:import namespace="c51e0c16-3c70-4bed-930f-b02839d0dd8b"/>
    <xsd:import namespace="5f308053-a768-43f1-bf66-06210bb74c0d"/>
    <xsd:element name="properties">
      <xsd:complexType>
        <xsd:sequence>
          <xsd:element name="documentManagement">
            <xsd:complexType>
              <xsd:all>
                <xsd:element ref="ns1:Review_x0020_Status" minOccurs="0"/>
                <xsd:element ref="ns1:Link" minOccurs="0"/>
                <xsd:element ref="ns1:_Flow_SignoffStatus" minOccurs="0"/>
                <xsd:element ref="ns1:MigrationWizId" minOccurs="0"/>
                <xsd:element ref="ns1:MigrationWizIdPermissions" minOccurs="0"/>
                <xsd:element ref="ns1:MigrationWizIdPermissionLevels" minOccurs="0"/>
                <xsd:element ref="ns1:MigrationWizIdDocumentLibraryPermissions" minOccurs="0"/>
                <xsd:element ref="ns1:MigrationWizIdSecurityGroup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1:MediaServiceLocation" minOccurs="0"/>
                <xsd:element ref="ns3:SharedWithUsers" minOccurs="0"/>
                <xsd:element ref="ns3:SharedWithDetails" minOccurs="0"/>
                <xsd:element ref="ns1:MediaLengthInSeconds" minOccurs="0"/>
                <xsd:element ref="ns1:lcf76f155ced4ddcb4097134ff3c332f" minOccurs="0"/>
                <xsd:element ref="ns3:TaxCatchAll"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Review_x0020_Status" ma:index="0" nillable="true" ma:displayName="Review Status" ma:format="Dropdown" ma:internalName="Review_x0020_Status">
      <xsd:complexType>
        <xsd:complexContent>
          <xsd:extension base="dms:MultiChoiceFillIn">
            <xsd:sequence>
              <xsd:element name="Value" maxOccurs="unbounded" minOccurs="0" nillable="true">
                <xsd:simpleType>
                  <xsd:union memberTypes="dms:Text">
                    <xsd:simpleType>
                      <xsd:restriction base="dms:Choice">
                        <xsd:enumeration value="In Process"/>
                        <xsd:enumeration value="In Review"/>
                        <xsd:enumeration value="Signed Off"/>
                      </xsd:restriction>
                    </xsd:simpleType>
                  </xsd:union>
                </xsd:simpleType>
              </xsd:element>
            </xsd:sequence>
          </xsd:extension>
        </xsd:complexContent>
      </xsd:complexType>
    </xsd:element>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hidden="true" ma:internalName="Sign_x002d_off_x0020_status" ma:readOnly="false">
      <xsd:simpleType>
        <xsd:restriction base="dms:Text"/>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247f23-7141-4778-a08d-7843529ef0d0}" ma:internalName="TaxCatchAll" ma:readOnly="false"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36018-F06F-4FDB-8AC0-460C5C7A3C16}">
  <ds:schemaRefs>
    <ds:schemaRef ds:uri="http://schemas.microsoft.com/office/2006/documentManagement/types"/>
    <ds:schemaRef ds:uri="http://purl.org/dc/dcmitype/"/>
    <ds:schemaRef ds:uri="5f308053-a768-43f1-bf66-06210bb74c0d"/>
    <ds:schemaRef ds:uri="http://purl.org/dc/terms/"/>
    <ds:schemaRef ds:uri="http://www.w3.org/XML/1998/namespace"/>
    <ds:schemaRef ds:uri="c51e0c16-3c70-4bed-930f-b02839d0dd8b"/>
    <ds:schemaRef ds:uri="http://schemas.microsoft.com/office/infopath/2007/PartnerControl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1778962-5F26-447F-8561-A0D916F1E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6428D-4941-4B07-93ED-B0B81562D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Dickinson</dc:creator>
  <cp:keywords/>
  <dc:description/>
  <cp:lastModifiedBy>Katie Clarke</cp:lastModifiedBy>
  <cp:revision>2</cp:revision>
  <cp:lastPrinted>2022-09-01T08:18:00Z</cp:lastPrinted>
  <dcterms:created xsi:type="dcterms:W3CDTF">2023-08-21T13:23:00Z</dcterms:created>
  <dcterms:modified xsi:type="dcterms:W3CDTF">2023-08-21T13:23:00Z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MediaServiceImageTags">
    <vt:lpwstr/>
  </property>
</Properties>
</file>